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8825" w14:textId="340C5E45" w:rsidR="00B32B9F" w:rsidRPr="00DB6D42" w:rsidRDefault="00C3718F" w:rsidP="00BB5FF5">
      <w:pPr>
        <w:spacing w:before="80" w:after="80"/>
        <w:jc w:val="both"/>
        <w:divId w:val="1794204426"/>
        <w:rPr>
          <w:rFonts w:cs="Arial"/>
          <w:b/>
          <w:szCs w:val="22"/>
          <w:lang w:val="en-US"/>
        </w:rPr>
      </w:pPr>
      <w:r w:rsidRPr="00DB6D42">
        <w:rPr>
          <w:rFonts w:cs="Arial"/>
          <w:b/>
          <w:szCs w:val="22"/>
          <w:lang w:val="en-US"/>
        </w:rPr>
        <w:t>Treatment of</w:t>
      </w:r>
      <w:r w:rsidR="00733B9E" w:rsidRPr="00DB6D42">
        <w:rPr>
          <w:rFonts w:cs="Arial"/>
          <w:b/>
          <w:szCs w:val="22"/>
          <w:lang w:val="en-US"/>
        </w:rPr>
        <w:t xml:space="preserve"> </w:t>
      </w:r>
      <w:r w:rsidRPr="00DB6D42">
        <w:rPr>
          <w:rFonts w:cs="Arial"/>
          <w:b/>
          <w:szCs w:val="22"/>
          <w:lang w:val="en-US"/>
        </w:rPr>
        <w:t xml:space="preserve">adult </w:t>
      </w:r>
      <w:r w:rsidR="00430D7C" w:rsidRPr="00DB6D42">
        <w:rPr>
          <w:rFonts w:cs="Arial"/>
          <w:b/>
          <w:szCs w:val="22"/>
          <w:lang w:val="en-US"/>
        </w:rPr>
        <w:t xml:space="preserve">chronic </w:t>
      </w:r>
      <w:r w:rsidR="00B32B9F" w:rsidRPr="00DB6D42">
        <w:rPr>
          <w:rFonts w:cs="Arial"/>
          <w:b/>
          <w:szCs w:val="22"/>
          <w:lang w:val="en-US"/>
        </w:rPr>
        <w:t>indeterminate Chagas disease: proof-of-concept randomized placebo-controlled study</w:t>
      </w:r>
      <w:r w:rsidR="00403746" w:rsidRPr="00DB6D42">
        <w:rPr>
          <w:rFonts w:cs="Arial"/>
          <w:b/>
          <w:szCs w:val="22"/>
          <w:lang w:val="en-US"/>
        </w:rPr>
        <w:t xml:space="preserve"> of </w:t>
      </w:r>
      <w:r w:rsidR="00C317A0" w:rsidRPr="00DB6D42">
        <w:rPr>
          <w:rFonts w:cs="Arial"/>
          <w:b/>
          <w:szCs w:val="22"/>
          <w:lang w:val="en-US"/>
        </w:rPr>
        <w:t xml:space="preserve">benznidazole and </w:t>
      </w:r>
      <w:r w:rsidR="00403746" w:rsidRPr="00DB6D42">
        <w:rPr>
          <w:rFonts w:cs="Arial"/>
          <w:b/>
          <w:szCs w:val="22"/>
          <w:lang w:val="en-US"/>
        </w:rPr>
        <w:t>three E1224 dosing regimens</w:t>
      </w:r>
    </w:p>
    <w:p w14:paraId="4F2CAC29" w14:textId="77777777" w:rsidR="00772E40" w:rsidRPr="00DB6D42" w:rsidRDefault="00772E40" w:rsidP="00BB5FF5">
      <w:pPr>
        <w:spacing w:before="80" w:after="80"/>
        <w:ind w:left="2160" w:hanging="2160"/>
        <w:jc w:val="both"/>
        <w:rPr>
          <w:rFonts w:cs="Arial"/>
          <w:b/>
          <w:szCs w:val="22"/>
          <w:lang w:val="en-US"/>
        </w:rPr>
      </w:pPr>
    </w:p>
    <w:p w14:paraId="7FD58DFD" w14:textId="77777777" w:rsidR="00512C02" w:rsidRPr="00DB6D42" w:rsidRDefault="00C3718F" w:rsidP="00BB5FF5">
      <w:pPr>
        <w:spacing w:before="80" w:after="80"/>
        <w:ind w:left="2160" w:hanging="2160"/>
        <w:jc w:val="both"/>
        <w:rPr>
          <w:rFonts w:cs="Arial"/>
          <w:b/>
          <w:szCs w:val="22"/>
          <w:lang w:val="en-US"/>
        </w:rPr>
      </w:pPr>
      <w:r w:rsidRPr="00DB6D42">
        <w:rPr>
          <w:rFonts w:cs="Arial"/>
          <w:b/>
          <w:szCs w:val="22"/>
          <w:lang w:val="en-US"/>
        </w:rPr>
        <w:t xml:space="preserve">Authors: </w:t>
      </w:r>
    </w:p>
    <w:p w14:paraId="3EB50EBB" w14:textId="77777777" w:rsidR="00512C02" w:rsidRPr="00DB6D42" w:rsidRDefault="00512C02" w:rsidP="00BB5FF5">
      <w:pPr>
        <w:spacing w:before="80" w:after="80"/>
        <w:ind w:left="2160" w:hanging="2160"/>
        <w:jc w:val="both"/>
        <w:rPr>
          <w:rFonts w:cs="Arial"/>
          <w:b/>
          <w:szCs w:val="22"/>
          <w:lang w:val="en-US"/>
        </w:rPr>
      </w:pPr>
    </w:p>
    <w:p w14:paraId="43030475" w14:textId="6EB4F7A3" w:rsidR="00C3718F" w:rsidRPr="00DB6D42" w:rsidRDefault="009C0D1C" w:rsidP="00BB5FF5">
      <w:pPr>
        <w:spacing w:before="80" w:after="80"/>
        <w:jc w:val="both"/>
        <w:rPr>
          <w:rFonts w:cs="Arial"/>
          <w:szCs w:val="22"/>
          <w:lang w:val="en-US"/>
        </w:rPr>
      </w:pPr>
      <w:r w:rsidRPr="00DB6D42">
        <w:rPr>
          <w:rFonts w:cs="Arial"/>
          <w:szCs w:val="22"/>
          <w:lang w:val="en-US"/>
        </w:rPr>
        <w:t xml:space="preserve">Faustino </w:t>
      </w:r>
      <w:r w:rsidR="00F76D20" w:rsidRPr="00DB6D42">
        <w:rPr>
          <w:rFonts w:cs="Arial"/>
          <w:szCs w:val="22"/>
          <w:lang w:val="en-US"/>
        </w:rPr>
        <w:t>Torrico</w:t>
      </w:r>
      <w:r w:rsidR="0096470E" w:rsidRPr="00DB6D42">
        <w:rPr>
          <w:rFonts w:cs="Arial"/>
          <w:szCs w:val="22"/>
          <w:vertAlign w:val="superscript"/>
          <w:lang w:val="en-US"/>
        </w:rPr>
        <w:t>1</w:t>
      </w:r>
      <w:r w:rsidR="00CB4727" w:rsidRPr="00DB6D42">
        <w:rPr>
          <w:rFonts w:cs="Arial"/>
          <w:szCs w:val="22"/>
          <w:vertAlign w:val="superscript"/>
          <w:lang w:val="en-US"/>
        </w:rPr>
        <w:t>*</w:t>
      </w:r>
      <w:r w:rsidRPr="00DB6D42">
        <w:rPr>
          <w:rFonts w:cs="Arial"/>
          <w:szCs w:val="22"/>
          <w:lang w:val="en-US"/>
        </w:rPr>
        <w:t>, PhD,</w:t>
      </w:r>
      <w:r w:rsidR="00F76D20" w:rsidRPr="00DB6D42">
        <w:rPr>
          <w:rFonts w:cs="Arial"/>
          <w:szCs w:val="22"/>
          <w:lang w:val="en-US"/>
        </w:rPr>
        <w:t xml:space="preserve"> </w:t>
      </w:r>
      <w:r w:rsidRPr="00DB6D42">
        <w:rPr>
          <w:rFonts w:cs="Arial"/>
          <w:szCs w:val="22"/>
          <w:lang w:val="en-US"/>
        </w:rPr>
        <w:t xml:space="preserve">Joaquim </w:t>
      </w:r>
      <w:r w:rsidR="00F76D20" w:rsidRPr="00DB6D42">
        <w:rPr>
          <w:rFonts w:cs="Arial"/>
          <w:szCs w:val="22"/>
          <w:lang w:val="en-US"/>
        </w:rPr>
        <w:t>Gascon</w:t>
      </w:r>
      <w:r w:rsidRPr="00DB6D42">
        <w:rPr>
          <w:rFonts w:cs="Arial"/>
          <w:szCs w:val="22"/>
          <w:vertAlign w:val="superscript"/>
          <w:lang w:val="en-US"/>
        </w:rPr>
        <w:t>2*</w:t>
      </w:r>
      <w:r w:rsidR="00F76D20" w:rsidRPr="00DB6D42">
        <w:rPr>
          <w:rFonts w:cs="Arial"/>
          <w:szCs w:val="22"/>
          <w:lang w:val="en-US"/>
        </w:rPr>
        <w:t xml:space="preserve">, </w:t>
      </w:r>
      <w:r w:rsidRPr="00DB6D42">
        <w:rPr>
          <w:rFonts w:cs="Arial"/>
          <w:szCs w:val="22"/>
          <w:lang w:val="en-US"/>
        </w:rPr>
        <w:t>PhD,</w:t>
      </w:r>
      <w:r w:rsidR="00F76D20" w:rsidRPr="00DB6D42">
        <w:rPr>
          <w:rFonts w:cs="Arial"/>
          <w:szCs w:val="22"/>
          <w:lang w:val="en-US"/>
        </w:rPr>
        <w:t xml:space="preserve"> </w:t>
      </w:r>
      <w:r w:rsidRPr="00DB6D42">
        <w:rPr>
          <w:rFonts w:cs="Arial"/>
          <w:szCs w:val="22"/>
          <w:lang w:val="en-US"/>
        </w:rPr>
        <w:t>Lourdes</w:t>
      </w:r>
      <w:r w:rsidRPr="00DB6D42">
        <w:rPr>
          <w:rFonts w:cs="Arial"/>
          <w:sz w:val="21"/>
          <w:szCs w:val="21"/>
          <w:lang w:val="en-US"/>
        </w:rPr>
        <w:t xml:space="preserve"> </w:t>
      </w:r>
      <w:r w:rsidR="00F76D20" w:rsidRPr="00DB6D42">
        <w:rPr>
          <w:rFonts w:cs="Arial"/>
          <w:szCs w:val="22"/>
          <w:lang w:val="en-US"/>
        </w:rPr>
        <w:t>Ortiz</w:t>
      </w:r>
      <w:r w:rsidRPr="00DB6D42">
        <w:rPr>
          <w:rFonts w:cs="Arial"/>
          <w:szCs w:val="22"/>
          <w:vertAlign w:val="superscript"/>
          <w:lang w:val="en-US"/>
        </w:rPr>
        <w:t>3</w:t>
      </w:r>
      <w:r w:rsidR="00F76D20" w:rsidRPr="00DB6D42">
        <w:rPr>
          <w:rFonts w:cs="Arial"/>
          <w:szCs w:val="22"/>
          <w:lang w:val="en-US"/>
        </w:rPr>
        <w:t>,</w:t>
      </w:r>
      <w:r w:rsidRPr="00DB6D42">
        <w:rPr>
          <w:rFonts w:cs="Arial"/>
          <w:szCs w:val="22"/>
          <w:lang w:val="en-US"/>
        </w:rPr>
        <w:t xml:space="preserve"> M</w:t>
      </w:r>
      <w:r w:rsidR="006E00C8" w:rsidRPr="00DB6D42">
        <w:rPr>
          <w:rFonts w:cs="Arial"/>
          <w:szCs w:val="22"/>
          <w:lang w:val="en-US"/>
        </w:rPr>
        <w:t>D</w:t>
      </w:r>
      <w:r w:rsidRPr="00DB6D42">
        <w:rPr>
          <w:rFonts w:cs="Arial"/>
          <w:szCs w:val="22"/>
          <w:lang w:val="en-US"/>
        </w:rPr>
        <w:t>,</w:t>
      </w:r>
      <w:r w:rsidR="00F76D20" w:rsidRPr="00DB6D42">
        <w:rPr>
          <w:rFonts w:cs="Arial"/>
          <w:szCs w:val="22"/>
          <w:lang w:val="en-US"/>
        </w:rPr>
        <w:t xml:space="preserve"> </w:t>
      </w:r>
      <w:r w:rsidRPr="00DB6D42">
        <w:rPr>
          <w:rFonts w:cs="Arial"/>
          <w:szCs w:val="22"/>
          <w:lang w:val="en-US"/>
        </w:rPr>
        <w:t xml:space="preserve">Cristina </w:t>
      </w:r>
      <w:r w:rsidR="00F76D20" w:rsidRPr="00DB6D42">
        <w:rPr>
          <w:rFonts w:cs="Arial"/>
          <w:szCs w:val="22"/>
          <w:lang w:val="en-US"/>
        </w:rPr>
        <w:t>Alonso-Vega</w:t>
      </w:r>
      <w:r w:rsidR="001E7942" w:rsidRPr="00DB6D42">
        <w:rPr>
          <w:rFonts w:cs="Arial"/>
          <w:szCs w:val="22"/>
          <w:vertAlign w:val="superscript"/>
          <w:lang w:val="en-US"/>
        </w:rPr>
        <w:t>4</w:t>
      </w:r>
      <w:r w:rsidR="00F76D20" w:rsidRPr="00DB6D42">
        <w:rPr>
          <w:rFonts w:cs="Arial"/>
          <w:szCs w:val="22"/>
          <w:lang w:val="en-US"/>
        </w:rPr>
        <w:t xml:space="preserve">, </w:t>
      </w:r>
      <w:r w:rsidR="00D26376" w:rsidRPr="00DB6D42">
        <w:rPr>
          <w:rFonts w:cs="Arial"/>
          <w:szCs w:val="22"/>
          <w:lang w:val="en-US"/>
        </w:rPr>
        <w:t>MD</w:t>
      </w:r>
      <w:r w:rsidRPr="00DB6D42">
        <w:rPr>
          <w:rFonts w:cs="Arial"/>
          <w:szCs w:val="22"/>
          <w:lang w:val="en-US"/>
        </w:rPr>
        <w:t>,</w:t>
      </w:r>
      <w:r w:rsidR="00F76D20" w:rsidRPr="00DB6D42">
        <w:rPr>
          <w:rFonts w:cs="Arial"/>
          <w:szCs w:val="22"/>
          <w:lang w:val="en-US"/>
        </w:rPr>
        <w:t xml:space="preserve"> </w:t>
      </w:r>
      <w:r w:rsidRPr="00DB6D42">
        <w:rPr>
          <w:rFonts w:cs="Arial"/>
          <w:szCs w:val="22"/>
          <w:lang w:val="en-US"/>
        </w:rPr>
        <w:t xml:space="preserve">María-Jesús </w:t>
      </w:r>
      <w:r w:rsidR="00F76D20" w:rsidRPr="00DB6D42">
        <w:rPr>
          <w:rFonts w:cs="Arial"/>
          <w:szCs w:val="22"/>
          <w:lang w:val="en-US"/>
        </w:rPr>
        <w:t>Pinazo</w:t>
      </w:r>
      <w:r w:rsidR="00926E5C" w:rsidRPr="00DB6D42">
        <w:rPr>
          <w:rFonts w:cs="Arial"/>
          <w:szCs w:val="22"/>
          <w:vertAlign w:val="superscript"/>
          <w:lang w:val="en-US"/>
        </w:rPr>
        <w:t>2</w:t>
      </w:r>
      <w:r w:rsidRPr="00DB6D42">
        <w:rPr>
          <w:rFonts w:cs="Arial"/>
          <w:szCs w:val="22"/>
          <w:lang w:val="en-US"/>
        </w:rPr>
        <w:t>,</w:t>
      </w:r>
      <w:r w:rsidR="00BD49F7" w:rsidRPr="00DB6D42">
        <w:rPr>
          <w:rFonts w:cs="Arial"/>
          <w:szCs w:val="22"/>
          <w:lang w:val="en-US"/>
        </w:rPr>
        <w:t xml:space="preserve"> MD</w:t>
      </w:r>
      <w:r w:rsidRPr="00DB6D42">
        <w:rPr>
          <w:rFonts w:cs="Arial"/>
          <w:szCs w:val="22"/>
          <w:lang w:val="en-US"/>
        </w:rPr>
        <w:t xml:space="preserve">, </w:t>
      </w:r>
      <w:r w:rsidR="00BD49F7" w:rsidRPr="00DB6D42">
        <w:rPr>
          <w:rFonts w:cs="Arial"/>
          <w:szCs w:val="22"/>
          <w:lang w:val="en-US"/>
        </w:rPr>
        <w:t xml:space="preserve">Alejandro </w:t>
      </w:r>
      <w:r w:rsidR="00F76D20" w:rsidRPr="00DB6D42">
        <w:rPr>
          <w:rFonts w:cs="Arial"/>
          <w:szCs w:val="22"/>
          <w:lang w:val="en-US"/>
        </w:rPr>
        <w:t>Schijman</w:t>
      </w:r>
      <w:r w:rsidR="002A1319" w:rsidRPr="00DB6D42">
        <w:rPr>
          <w:rFonts w:cs="Arial"/>
          <w:szCs w:val="22"/>
          <w:vertAlign w:val="superscript"/>
          <w:lang w:val="en-US"/>
        </w:rPr>
        <w:t>5</w:t>
      </w:r>
      <w:r w:rsidR="00F76D20" w:rsidRPr="00DB6D42">
        <w:rPr>
          <w:rFonts w:cs="Arial"/>
          <w:szCs w:val="22"/>
          <w:lang w:val="en-US"/>
        </w:rPr>
        <w:t>,</w:t>
      </w:r>
      <w:r w:rsidR="00BD49F7" w:rsidRPr="00DB6D42">
        <w:rPr>
          <w:rFonts w:cs="Arial"/>
          <w:szCs w:val="22"/>
          <w:lang w:val="en-US"/>
        </w:rPr>
        <w:t xml:space="preserve"> PhD, </w:t>
      </w:r>
      <w:r w:rsidR="003D5C4D" w:rsidRPr="00DB6D42">
        <w:rPr>
          <w:rFonts w:cs="Arial"/>
          <w:szCs w:val="22"/>
          <w:lang w:val="en-US"/>
        </w:rPr>
        <w:t xml:space="preserve">Igor </w:t>
      </w:r>
      <w:r w:rsidR="00156638" w:rsidRPr="00DB6D42">
        <w:rPr>
          <w:rFonts w:cs="Arial"/>
          <w:szCs w:val="22"/>
          <w:lang w:val="en-US"/>
        </w:rPr>
        <w:t>C</w:t>
      </w:r>
      <w:r w:rsidR="009A77B5" w:rsidRPr="00DB6D42">
        <w:rPr>
          <w:rFonts w:cs="Arial"/>
          <w:szCs w:val="22"/>
          <w:lang w:val="en-US"/>
        </w:rPr>
        <w:t xml:space="preserve"> </w:t>
      </w:r>
      <w:r w:rsidR="003D5C4D" w:rsidRPr="00DB6D42">
        <w:rPr>
          <w:rFonts w:cs="Arial"/>
          <w:szCs w:val="22"/>
          <w:lang w:val="en-US"/>
        </w:rPr>
        <w:t>Almeida</w:t>
      </w:r>
      <w:r w:rsidR="002A1319" w:rsidRPr="00DB6D42">
        <w:rPr>
          <w:rFonts w:cs="Arial"/>
          <w:szCs w:val="22"/>
          <w:vertAlign w:val="superscript"/>
          <w:lang w:val="en-US"/>
        </w:rPr>
        <w:t>6</w:t>
      </w:r>
      <w:r w:rsidR="003E6ECB" w:rsidRPr="00DB6D42">
        <w:rPr>
          <w:rFonts w:cs="Arial"/>
          <w:szCs w:val="22"/>
          <w:lang w:val="en-US"/>
        </w:rPr>
        <w:t xml:space="preserve">, </w:t>
      </w:r>
      <w:r w:rsidR="00AE0F85" w:rsidRPr="00DB6D42">
        <w:rPr>
          <w:rFonts w:cs="Arial"/>
          <w:szCs w:val="22"/>
          <w:lang w:val="en-US"/>
        </w:rPr>
        <w:t>DSc</w:t>
      </w:r>
      <w:r w:rsidR="003D5C4D" w:rsidRPr="00DB6D42">
        <w:rPr>
          <w:rFonts w:cs="Arial"/>
          <w:szCs w:val="22"/>
          <w:lang w:val="en-US"/>
        </w:rPr>
        <w:t xml:space="preserve">, </w:t>
      </w:r>
      <w:r w:rsidRPr="00DB6D42">
        <w:rPr>
          <w:rFonts w:cs="Arial"/>
          <w:szCs w:val="22"/>
          <w:lang w:val="en-US"/>
        </w:rPr>
        <w:t xml:space="preserve">Fabiana </w:t>
      </w:r>
      <w:r w:rsidR="00F76D20" w:rsidRPr="00DB6D42">
        <w:rPr>
          <w:rFonts w:cs="Arial"/>
          <w:szCs w:val="22"/>
          <w:lang w:val="en-US"/>
        </w:rPr>
        <w:t>Alves</w:t>
      </w:r>
      <w:r w:rsidR="002A1319" w:rsidRPr="00DB6D42">
        <w:rPr>
          <w:rFonts w:cs="Arial"/>
          <w:szCs w:val="22"/>
          <w:vertAlign w:val="superscript"/>
          <w:lang w:val="en-US"/>
        </w:rPr>
        <w:t>4</w:t>
      </w:r>
      <w:r w:rsidR="00F76D20" w:rsidRPr="00DB6D42">
        <w:rPr>
          <w:rFonts w:cs="Arial"/>
          <w:szCs w:val="22"/>
          <w:lang w:val="en-US"/>
        </w:rPr>
        <w:t xml:space="preserve">, </w:t>
      </w:r>
      <w:r w:rsidRPr="00DB6D42">
        <w:rPr>
          <w:rFonts w:cs="Arial"/>
          <w:szCs w:val="22"/>
          <w:lang w:val="en-US"/>
        </w:rPr>
        <w:t>PhD</w:t>
      </w:r>
      <w:r w:rsidR="00BD49F7" w:rsidRPr="00DB6D42">
        <w:rPr>
          <w:rFonts w:cs="Arial"/>
          <w:szCs w:val="22"/>
          <w:lang w:val="en-US"/>
        </w:rPr>
        <w:t>,</w:t>
      </w:r>
      <w:r w:rsidR="00F76D20" w:rsidRPr="00DB6D42">
        <w:rPr>
          <w:rFonts w:cs="Arial"/>
          <w:szCs w:val="22"/>
          <w:lang w:val="en-US"/>
        </w:rPr>
        <w:t xml:space="preserve"> </w:t>
      </w:r>
      <w:r w:rsidR="00926E5C" w:rsidRPr="00DB6D42">
        <w:rPr>
          <w:rFonts w:cs="Arial"/>
          <w:szCs w:val="22"/>
          <w:lang w:val="en-US"/>
        </w:rPr>
        <w:t xml:space="preserve">Nathalie </w:t>
      </w:r>
      <w:r w:rsidR="007058C1" w:rsidRPr="00DB6D42">
        <w:rPr>
          <w:rFonts w:cs="Arial"/>
          <w:szCs w:val="22"/>
          <w:lang w:val="en-US"/>
        </w:rPr>
        <w:t>Strub-Wourgaft</w:t>
      </w:r>
      <w:r w:rsidR="002A1319" w:rsidRPr="00DB6D42">
        <w:rPr>
          <w:rFonts w:cs="Arial"/>
          <w:szCs w:val="22"/>
          <w:vertAlign w:val="superscript"/>
          <w:lang w:val="en-US"/>
        </w:rPr>
        <w:t>4</w:t>
      </w:r>
      <w:r w:rsidR="00926E5C" w:rsidRPr="00DB6D42">
        <w:rPr>
          <w:rFonts w:cs="Arial"/>
          <w:szCs w:val="22"/>
          <w:lang w:val="en-US"/>
        </w:rPr>
        <w:t>, MD,</w:t>
      </w:r>
      <w:r w:rsidR="007058C1" w:rsidRPr="00DB6D42">
        <w:rPr>
          <w:rFonts w:cs="Arial"/>
          <w:szCs w:val="22"/>
          <w:lang w:val="en-US"/>
        </w:rPr>
        <w:t xml:space="preserve"> </w:t>
      </w:r>
      <w:r w:rsidR="00926E5C" w:rsidRPr="00DB6D42">
        <w:rPr>
          <w:rFonts w:cs="Arial"/>
          <w:szCs w:val="22"/>
          <w:lang w:val="en-US"/>
        </w:rPr>
        <w:t xml:space="preserve">Isabela </w:t>
      </w:r>
      <w:r w:rsidR="00F76D20" w:rsidRPr="00DB6D42">
        <w:rPr>
          <w:rFonts w:cs="Arial"/>
          <w:szCs w:val="22"/>
          <w:lang w:val="en-US"/>
        </w:rPr>
        <w:t>Ribeiro</w:t>
      </w:r>
      <w:r w:rsidR="002A1319" w:rsidRPr="00DB6D42">
        <w:rPr>
          <w:rFonts w:cs="Arial"/>
          <w:szCs w:val="22"/>
          <w:vertAlign w:val="superscript"/>
          <w:lang w:val="en-US"/>
        </w:rPr>
        <w:t>4</w:t>
      </w:r>
      <w:r w:rsidR="00BD49F7" w:rsidRPr="00DB6D42">
        <w:rPr>
          <w:rFonts w:cs="Arial"/>
          <w:szCs w:val="22"/>
          <w:vertAlign w:val="superscript"/>
          <w:lang w:val="en-US"/>
        </w:rPr>
        <w:t>#</w:t>
      </w:r>
      <w:r w:rsidR="00F76D20" w:rsidRPr="00DB6D42">
        <w:rPr>
          <w:rFonts w:cs="Arial"/>
          <w:szCs w:val="22"/>
          <w:lang w:val="en-US"/>
        </w:rPr>
        <w:t xml:space="preserve">, </w:t>
      </w:r>
      <w:r w:rsidR="00926E5C" w:rsidRPr="00DB6D42">
        <w:rPr>
          <w:rFonts w:cs="Arial"/>
          <w:szCs w:val="22"/>
          <w:lang w:val="en-US"/>
        </w:rPr>
        <w:t>MD</w:t>
      </w:r>
      <w:r w:rsidR="00F76D20" w:rsidRPr="00DB6D42">
        <w:rPr>
          <w:rFonts w:cs="Arial"/>
          <w:szCs w:val="22"/>
          <w:lang w:val="en-US"/>
        </w:rPr>
        <w:t xml:space="preserve"> on behalf of </w:t>
      </w:r>
      <w:r w:rsidR="00C3718F" w:rsidRPr="00DB6D42">
        <w:rPr>
          <w:rFonts w:cs="Arial"/>
          <w:szCs w:val="22"/>
          <w:lang w:val="en-US"/>
        </w:rPr>
        <w:t>the E1224 Study Group</w:t>
      </w:r>
    </w:p>
    <w:p w14:paraId="65CEE540" w14:textId="77777777" w:rsidR="00DD0D00" w:rsidRPr="00DB6D42" w:rsidRDefault="00DD0D00" w:rsidP="00BB5FF5">
      <w:pPr>
        <w:rPr>
          <w:vertAlign w:val="superscript"/>
          <w:lang w:val="en-US"/>
        </w:rPr>
      </w:pPr>
    </w:p>
    <w:p w14:paraId="4D3DC5E7" w14:textId="77777777" w:rsidR="00512C02" w:rsidRPr="00DB6D42" w:rsidRDefault="00DD0D00" w:rsidP="00BB5FF5">
      <w:pPr>
        <w:rPr>
          <w:lang w:val="en-US"/>
        </w:rPr>
      </w:pPr>
      <w:r w:rsidRPr="00DB6D42">
        <w:rPr>
          <w:vertAlign w:val="superscript"/>
          <w:lang w:val="en-US"/>
        </w:rPr>
        <w:t>#</w:t>
      </w:r>
      <w:r w:rsidRPr="00DB6D42">
        <w:rPr>
          <w:lang w:val="en-US"/>
        </w:rPr>
        <w:t xml:space="preserve">Corresponding author: DNDi, </w:t>
      </w:r>
      <w:r w:rsidRPr="00DB6D42">
        <w:t>15 Chemin Louis-Dunant, 1202 Geneva, Switzerland</w:t>
      </w:r>
      <w:r w:rsidRPr="00DB6D42">
        <w:br/>
        <w:t>Tel: + 41 (0) 22 906 9230</w:t>
      </w:r>
      <w:r w:rsidRPr="00DB6D42">
        <w:br/>
        <w:t xml:space="preserve">Email: </w:t>
      </w:r>
      <w:hyperlink r:id="rId8" w:history="1">
        <w:r w:rsidRPr="00DB6D42">
          <w:rPr>
            <w:rStyle w:val="Hyperlink"/>
          </w:rPr>
          <w:t>iribeiro@dndi.org</w:t>
        </w:r>
      </w:hyperlink>
    </w:p>
    <w:p w14:paraId="55DE2035" w14:textId="77777777" w:rsidR="00DD0D00" w:rsidRPr="00DB6D42" w:rsidRDefault="00DD0D00" w:rsidP="00BB5FF5">
      <w:pPr>
        <w:rPr>
          <w:lang w:val="en-US"/>
        </w:rPr>
      </w:pPr>
    </w:p>
    <w:p w14:paraId="458683AB" w14:textId="77777777" w:rsidR="00EE32B5" w:rsidRPr="00DB6D42" w:rsidRDefault="00EE32B5" w:rsidP="00BB5FF5">
      <w:pPr>
        <w:spacing w:before="80" w:after="80"/>
        <w:ind w:left="2160" w:hanging="2160"/>
        <w:jc w:val="both"/>
        <w:rPr>
          <w:rFonts w:cs="Arial"/>
          <w:b/>
          <w:szCs w:val="22"/>
          <w:lang w:val="en-US"/>
        </w:rPr>
      </w:pPr>
      <w:r w:rsidRPr="00DB6D42">
        <w:rPr>
          <w:rFonts w:cs="Arial"/>
          <w:b/>
          <w:szCs w:val="22"/>
          <w:lang w:val="en-US"/>
        </w:rPr>
        <w:t>Affiliations:</w:t>
      </w:r>
    </w:p>
    <w:p w14:paraId="54761EF9" w14:textId="77777777" w:rsidR="00EE32B5" w:rsidRPr="00DB6D42" w:rsidRDefault="00EE32B5" w:rsidP="00BB5FF5">
      <w:pPr>
        <w:spacing w:before="80" w:after="80"/>
        <w:ind w:left="2160" w:hanging="2160"/>
        <w:jc w:val="both"/>
        <w:rPr>
          <w:rFonts w:cs="Arial"/>
          <w:b/>
          <w:szCs w:val="22"/>
          <w:lang w:val="en-US"/>
        </w:rPr>
      </w:pPr>
    </w:p>
    <w:p w14:paraId="528F06DB" w14:textId="77777777" w:rsidR="008A17F1" w:rsidRPr="00DB6D42" w:rsidRDefault="00CB4727" w:rsidP="00BB5FF5">
      <w:pPr>
        <w:rPr>
          <w:lang w:val="en-US"/>
        </w:rPr>
      </w:pPr>
      <w:r w:rsidRPr="00DB6D42">
        <w:rPr>
          <w:rFonts w:cs="Arial"/>
          <w:b/>
          <w:szCs w:val="22"/>
          <w:lang w:val="en-US"/>
        </w:rPr>
        <w:t>*</w:t>
      </w:r>
      <w:r w:rsidR="008A17F1" w:rsidRPr="00DB6D42">
        <w:rPr>
          <w:lang w:val="en-US"/>
        </w:rPr>
        <w:t>Equally contributed as PI’s of clinical trial.</w:t>
      </w:r>
    </w:p>
    <w:p w14:paraId="5406D593" w14:textId="77777777" w:rsidR="00EE7BE7" w:rsidRPr="00DB6D42" w:rsidRDefault="0096470E" w:rsidP="00BB5FF5">
      <w:pPr>
        <w:spacing w:before="80" w:after="80"/>
        <w:jc w:val="both"/>
        <w:rPr>
          <w:rFonts w:cs="Arial"/>
          <w:szCs w:val="22"/>
          <w:lang w:val="es-AR"/>
        </w:rPr>
      </w:pPr>
      <w:r w:rsidRPr="00DB6D42">
        <w:rPr>
          <w:rFonts w:cs="Arial"/>
          <w:szCs w:val="22"/>
          <w:vertAlign w:val="superscript"/>
          <w:lang w:val="es-AR"/>
        </w:rPr>
        <w:t xml:space="preserve">1 </w:t>
      </w:r>
      <w:r w:rsidR="004D0E8B" w:rsidRPr="00DB6D42">
        <w:rPr>
          <w:rFonts w:cs="Arial"/>
          <w:szCs w:val="22"/>
          <w:lang w:val="es-AR"/>
        </w:rPr>
        <w:t>Universidad Mayor de San Sim</w:t>
      </w:r>
      <w:r w:rsidR="00A54BE8" w:rsidRPr="00DB6D42">
        <w:rPr>
          <w:rFonts w:cs="Arial"/>
          <w:szCs w:val="22"/>
          <w:lang w:val="es-AR"/>
        </w:rPr>
        <w:t>ó</w:t>
      </w:r>
      <w:r w:rsidR="004D0E8B" w:rsidRPr="00DB6D42">
        <w:rPr>
          <w:rFonts w:cs="Arial"/>
          <w:szCs w:val="22"/>
          <w:lang w:val="es-AR"/>
        </w:rPr>
        <w:t>n</w:t>
      </w:r>
      <w:r w:rsidR="00CD2E32" w:rsidRPr="00DB6D42">
        <w:rPr>
          <w:rFonts w:cs="Arial"/>
          <w:szCs w:val="22"/>
          <w:lang w:val="es-AR"/>
        </w:rPr>
        <w:t xml:space="preserve"> and Fundación CEADES</w:t>
      </w:r>
      <w:r w:rsidR="004D0E8B" w:rsidRPr="00DB6D42">
        <w:rPr>
          <w:rFonts w:cs="Arial"/>
          <w:szCs w:val="22"/>
          <w:lang w:val="es-AR"/>
        </w:rPr>
        <w:t>, Cochabamba</w:t>
      </w:r>
      <w:r w:rsidRPr="00DB6D42">
        <w:rPr>
          <w:rFonts w:cs="Arial"/>
          <w:szCs w:val="22"/>
          <w:lang w:val="es-AR"/>
        </w:rPr>
        <w:t>, Bolivia</w:t>
      </w:r>
    </w:p>
    <w:p w14:paraId="253C5653" w14:textId="77777777" w:rsidR="0096470E" w:rsidRPr="00DB6D42" w:rsidRDefault="00E41460" w:rsidP="00BB5FF5">
      <w:pPr>
        <w:autoSpaceDE w:val="0"/>
        <w:autoSpaceDN w:val="0"/>
        <w:adjustRightInd w:val="0"/>
        <w:spacing w:after="0"/>
        <w:rPr>
          <w:rFonts w:cs="Arial"/>
          <w:szCs w:val="22"/>
          <w:lang w:val="es-AR"/>
        </w:rPr>
      </w:pPr>
      <w:r w:rsidRPr="00DB6D42">
        <w:rPr>
          <w:rFonts w:cs="Arial"/>
          <w:szCs w:val="22"/>
          <w:vertAlign w:val="superscript"/>
        </w:rPr>
        <w:t xml:space="preserve">2 </w:t>
      </w:r>
      <w:proofErr w:type="spellStart"/>
      <w:r w:rsidRPr="00DB6D42">
        <w:rPr>
          <w:rFonts w:cs="Arial"/>
          <w:szCs w:val="22"/>
        </w:rPr>
        <w:t>ISGlobal</w:t>
      </w:r>
      <w:proofErr w:type="spellEnd"/>
      <w:r w:rsidRPr="00DB6D42">
        <w:rPr>
          <w:rFonts w:cs="Arial"/>
          <w:szCs w:val="22"/>
        </w:rPr>
        <w:t xml:space="preserve">, Barcelona Ctr. Int. Health Res. </w:t>
      </w:r>
      <w:r w:rsidR="00255594" w:rsidRPr="00DB6D42">
        <w:rPr>
          <w:rFonts w:cs="Arial"/>
          <w:szCs w:val="22"/>
          <w:lang w:val="es-AR"/>
        </w:rPr>
        <w:t xml:space="preserve">(CRESIB), Barcelona, </w:t>
      </w:r>
      <w:proofErr w:type="spellStart"/>
      <w:r w:rsidR="00255594" w:rsidRPr="00DB6D42">
        <w:rPr>
          <w:rFonts w:cs="Arial"/>
          <w:szCs w:val="22"/>
          <w:lang w:val="es-AR"/>
        </w:rPr>
        <w:t>Spain</w:t>
      </w:r>
      <w:proofErr w:type="spellEnd"/>
      <w:r w:rsidR="00255594" w:rsidRPr="00DB6D42">
        <w:rPr>
          <w:rFonts w:ascii="Helvetica" w:hAnsi="Helvetica" w:cs="Helvetica"/>
          <w:sz w:val="24"/>
          <w:lang w:val="es-ES" w:eastAsia="es-ES"/>
        </w:rPr>
        <w:t>.</w:t>
      </w:r>
    </w:p>
    <w:p w14:paraId="16C8738A" w14:textId="77777777" w:rsidR="0096470E" w:rsidRPr="00DB6D42" w:rsidRDefault="0096470E" w:rsidP="00BB5FF5">
      <w:pPr>
        <w:spacing w:before="80" w:after="80"/>
        <w:jc w:val="both"/>
        <w:rPr>
          <w:rFonts w:cs="Arial"/>
          <w:szCs w:val="22"/>
          <w:lang w:val="es-AR"/>
        </w:rPr>
      </w:pPr>
      <w:r w:rsidRPr="00DB6D42">
        <w:rPr>
          <w:rFonts w:cs="Arial"/>
          <w:szCs w:val="22"/>
          <w:vertAlign w:val="superscript"/>
          <w:lang w:val="es-AR"/>
        </w:rPr>
        <w:t xml:space="preserve">3 </w:t>
      </w:r>
      <w:r w:rsidRPr="00DB6D42">
        <w:rPr>
          <w:rFonts w:cs="Arial"/>
          <w:szCs w:val="22"/>
          <w:lang w:val="es-AR"/>
        </w:rPr>
        <w:t xml:space="preserve">Universidad </w:t>
      </w:r>
      <w:r w:rsidR="00DE521A" w:rsidRPr="00DB6D42">
        <w:rPr>
          <w:rFonts w:cs="Arial"/>
          <w:szCs w:val="22"/>
          <w:lang w:val="es-AR"/>
        </w:rPr>
        <w:t>Autónoma</w:t>
      </w:r>
      <w:r w:rsidRPr="00DB6D42">
        <w:rPr>
          <w:rFonts w:cs="Arial"/>
          <w:szCs w:val="22"/>
          <w:lang w:val="es-AR"/>
        </w:rPr>
        <w:t xml:space="preserve"> Juan Misael Saracho de Tarija, Bolivia</w:t>
      </w:r>
    </w:p>
    <w:p w14:paraId="36D37697" w14:textId="77777777" w:rsidR="002A1319" w:rsidRPr="00DB6D42" w:rsidRDefault="0096470E" w:rsidP="00BB5FF5">
      <w:pPr>
        <w:spacing w:before="80" w:after="80"/>
        <w:jc w:val="both"/>
        <w:rPr>
          <w:rFonts w:cs="Arial"/>
          <w:szCs w:val="22"/>
          <w:vertAlign w:val="superscript"/>
          <w:lang w:val="en-US"/>
        </w:rPr>
      </w:pPr>
      <w:r w:rsidRPr="00DB6D42">
        <w:rPr>
          <w:rFonts w:cs="Arial"/>
          <w:szCs w:val="22"/>
          <w:vertAlign w:val="superscript"/>
          <w:lang w:val="en-US"/>
        </w:rPr>
        <w:t xml:space="preserve">4 </w:t>
      </w:r>
      <w:r w:rsidR="002A1319" w:rsidRPr="00DB6D42">
        <w:rPr>
          <w:rFonts w:cs="Arial"/>
          <w:szCs w:val="22"/>
          <w:lang w:val="en-US"/>
        </w:rPr>
        <w:t xml:space="preserve">Drugs for Neglected Diseases initiative, Geneva, Switzerland </w:t>
      </w:r>
    </w:p>
    <w:p w14:paraId="5B490C9C" w14:textId="5B4FDD58" w:rsidR="002A1319" w:rsidRPr="00DB6D42" w:rsidRDefault="0096470E" w:rsidP="00BB5FF5">
      <w:pPr>
        <w:spacing w:before="80" w:after="80"/>
        <w:ind w:left="180" w:hanging="180"/>
        <w:jc w:val="both"/>
        <w:rPr>
          <w:rFonts w:cs="Arial"/>
          <w:szCs w:val="22"/>
          <w:lang w:val="es-AR"/>
        </w:rPr>
      </w:pPr>
      <w:r w:rsidRPr="00DB6D42">
        <w:rPr>
          <w:rFonts w:cs="Arial"/>
          <w:szCs w:val="22"/>
          <w:vertAlign w:val="superscript"/>
          <w:lang w:val="es-ES"/>
        </w:rPr>
        <w:t>5</w:t>
      </w:r>
      <w:r w:rsidR="009B4CCA" w:rsidRPr="00DB6D42">
        <w:rPr>
          <w:rFonts w:cs="Arial"/>
          <w:szCs w:val="22"/>
          <w:lang w:val="es-ES"/>
        </w:rPr>
        <w:t xml:space="preserve"> </w:t>
      </w:r>
      <w:r w:rsidR="002A1319" w:rsidRPr="00DB6D42">
        <w:rPr>
          <w:rFonts w:cs="Arial"/>
          <w:szCs w:val="22"/>
          <w:lang w:val="es-AR"/>
        </w:rPr>
        <w:t>Laboratorio de Biología Molecular de la Enfermedad de Chagas, Instituto de Investigaciones en Ingeniería Genética y Biología Molecular “Dr. Héctor N. Torres” - INGEBI-CONICET, Bs. As., Argentina.</w:t>
      </w:r>
    </w:p>
    <w:p w14:paraId="5EE1736E" w14:textId="2F8D250C" w:rsidR="002A1319" w:rsidRPr="00DB6D42" w:rsidRDefault="003E6ECB" w:rsidP="00BB5FF5">
      <w:pPr>
        <w:spacing w:before="80" w:after="80"/>
        <w:ind w:left="180" w:hanging="180"/>
        <w:jc w:val="both"/>
        <w:rPr>
          <w:rFonts w:cs="Arial"/>
          <w:szCs w:val="22"/>
          <w:lang w:val="en-US"/>
        </w:rPr>
      </w:pPr>
      <w:r w:rsidRPr="00DB6D42">
        <w:rPr>
          <w:rFonts w:cs="Arial"/>
          <w:szCs w:val="22"/>
          <w:vertAlign w:val="superscript"/>
          <w:lang w:val="en-US"/>
        </w:rPr>
        <w:t xml:space="preserve">6 </w:t>
      </w:r>
      <w:r w:rsidR="002A1319" w:rsidRPr="00DB6D42">
        <w:rPr>
          <w:rFonts w:cs="Arial"/>
          <w:szCs w:val="22"/>
          <w:vertAlign w:val="superscript"/>
          <w:lang w:val="en-US"/>
        </w:rPr>
        <w:t xml:space="preserve">  </w:t>
      </w:r>
      <w:r w:rsidR="002A1319" w:rsidRPr="00DB6D42">
        <w:rPr>
          <w:rFonts w:cs="Arial"/>
          <w:szCs w:val="22"/>
          <w:lang w:val="en-US"/>
        </w:rPr>
        <w:t xml:space="preserve">Border Biomedical Research Center, </w:t>
      </w:r>
      <w:r w:rsidR="00111DD0" w:rsidRPr="00DB6D42">
        <w:rPr>
          <w:rFonts w:cs="Arial"/>
          <w:szCs w:val="22"/>
          <w:lang w:val="en-US"/>
        </w:rPr>
        <w:t xml:space="preserve">Dept. of Biological Sciences, </w:t>
      </w:r>
      <w:r w:rsidR="002A1319" w:rsidRPr="00DB6D42">
        <w:rPr>
          <w:rFonts w:cs="Arial"/>
          <w:szCs w:val="22"/>
          <w:lang w:val="en-US"/>
        </w:rPr>
        <w:t>University of Texas at El Paso (UTEP), El Paso, Texas, USA</w:t>
      </w:r>
      <w:r w:rsidR="00833A91" w:rsidRPr="00DB6D42">
        <w:rPr>
          <w:rFonts w:cs="Arial"/>
          <w:szCs w:val="22"/>
          <w:lang w:val="en-US"/>
        </w:rPr>
        <w:t>.</w:t>
      </w:r>
    </w:p>
    <w:p w14:paraId="3AADB392" w14:textId="0B959A10" w:rsidR="002A1319" w:rsidRPr="00DB6D42" w:rsidRDefault="002A1319" w:rsidP="00BB5FF5">
      <w:pPr>
        <w:spacing w:before="80" w:after="80"/>
        <w:jc w:val="both"/>
        <w:rPr>
          <w:rFonts w:cs="Arial"/>
          <w:szCs w:val="22"/>
          <w:vertAlign w:val="superscript"/>
          <w:lang w:val="en-US"/>
        </w:rPr>
      </w:pPr>
    </w:p>
    <w:p w14:paraId="6C4ECC34" w14:textId="21EB4D44" w:rsidR="0096470E" w:rsidRPr="00DB6D42" w:rsidRDefault="0096470E" w:rsidP="00BB5FF5">
      <w:pPr>
        <w:spacing w:before="80" w:after="80"/>
        <w:ind w:left="180" w:hanging="180"/>
        <w:jc w:val="both"/>
        <w:rPr>
          <w:rFonts w:cs="Arial"/>
          <w:szCs w:val="22"/>
          <w:lang w:val="en-US"/>
        </w:rPr>
      </w:pPr>
    </w:p>
    <w:p w14:paraId="25FCDB55" w14:textId="77777777" w:rsidR="0096470E" w:rsidRPr="00DB6D42" w:rsidRDefault="0096470E" w:rsidP="00BB5FF5">
      <w:pPr>
        <w:spacing w:before="80" w:after="80"/>
        <w:jc w:val="both"/>
        <w:rPr>
          <w:rFonts w:cs="Arial"/>
          <w:szCs w:val="22"/>
          <w:lang w:val="en-US"/>
        </w:rPr>
      </w:pPr>
    </w:p>
    <w:p w14:paraId="707709D8" w14:textId="77777777" w:rsidR="00F76D20" w:rsidRPr="00DB6D42" w:rsidRDefault="00F76D20" w:rsidP="00BB5FF5">
      <w:pPr>
        <w:spacing w:before="80" w:after="80"/>
        <w:jc w:val="both"/>
        <w:rPr>
          <w:rFonts w:cs="Arial"/>
          <w:szCs w:val="22"/>
          <w:lang w:val="en-US"/>
        </w:rPr>
      </w:pPr>
    </w:p>
    <w:p w14:paraId="21C185A1" w14:textId="77777777" w:rsidR="00F76D20" w:rsidRPr="00DB6D42" w:rsidRDefault="00F76D20" w:rsidP="00BB5FF5">
      <w:pPr>
        <w:spacing w:before="80" w:after="80"/>
        <w:jc w:val="both"/>
        <w:rPr>
          <w:b/>
          <w:szCs w:val="22"/>
          <w:lang w:val="en-US"/>
        </w:rPr>
      </w:pPr>
    </w:p>
    <w:p w14:paraId="1830232B" w14:textId="77777777" w:rsidR="00B32B9F" w:rsidRPr="00DB6D42" w:rsidRDefault="00E41460" w:rsidP="00BB5FF5">
      <w:pPr>
        <w:spacing w:before="80" w:after="80" w:line="360" w:lineRule="auto"/>
        <w:jc w:val="both"/>
        <w:rPr>
          <w:b/>
          <w:szCs w:val="22"/>
          <w:lang w:val="en-US"/>
        </w:rPr>
      </w:pPr>
      <w:r w:rsidRPr="00DB6D42">
        <w:rPr>
          <w:b/>
          <w:szCs w:val="22"/>
          <w:lang w:val="en-US"/>
        </w:rPr>
        <w:br w:type="page"/>
      </w:r>
      <w:r w:rsidR="00B32B9F" w:rsidRPr="00DB6D42">
        <w:rPr>
          <w:b/>
          <w:szCs w:val="22"/>
          <w:lang w:val="en-US"/>
        </w:rPr>
        <w:lastRenderedPageBreak/>
        <w:t>Abstract</w:t>
      </w:r>
    </w:p>
    <w:p w14:paraId="09C1EC82" w14:textId="341E8AB7" w:rsidR="00314F50" w:rsidRPr="00DB6D42" w:rsidRDefault="00314F50" w:rsidP="00BB5FF5">
      <w:pPr>
        <w:spacing w:before="80" w:after="80" w:line="360" w:lineRule="auto"/>
        <w:jc w:val="both"/>
        <w:rPr>
          <w:rFonts w:cs="Arial"/>
          <w:color w:val="262626"/>
          <w:szCs w:val="22"/>
          <w:lang w:val="en-US"/>
        </w:rPr>
      </w:pPr>
      <w:r w:rsidRPr="00DB6D42">
        <w:rPr>
          <w:rFonts w:cs="Arial"/>
          <w:i/>
          <w:color w:val="262626"/>
          <w:szCs w:val="22"/>
          <w:lang w:val="en-US"/>
        </w:rPr>
        <w:t xml:space="preserve">Background. </w:t>
      </w:r>
      <w:r w:rsidRPr="00DB6D42">
        <w:rPr>
          <w:rFonts w:cs="Arial"/>
          <w:color w:val="262626"/>
          <w:szCs w:val="22"/>
          <w:lang w:val="en-US"/>
        </w:rPr>
        <w:t>Chagas disease</w:t>
      </w:r>
      <w:r w:rsidR="005C1254" w:rsidRPr="00DB6D42">
        <w:rPr>
          <w:rFonts w:cs="Arial"/>
          <w:color w:val="262626"/>
          <w:szCs w:val="22"/>
          <w:lang w:val="en-US"/>
        </w:rPr>
        <w:t xml:space="preserve"> (CD)</w:t>
      </w:r>
      <w:r w:rsidRPr="00DB6D42">
        <w:rPr>
          <w:rFonts w:cs="Arial"/>
          <w:color w:val="262626"/>
          <w:szCs w:val="22"/>
          <w:lang w:val="en-US"/>
        </w:rPr>
        <w:t xml:space="preserve"> is a major neglected vector-borne disease, associated with knowledge gaps and difficulties in clinical drug development.</w:t>
      </w:r>
    </w:p>
    <w:p w14:paraId="6F9B006E" w14:textId="54D30883" w:rsidR="00314F50" w:rsidRPr="00DB6D42" w:rsidRDefault="00314F50" w:rsidP="00BB5FF5">
      <w:pPr>
        <w:spacing w:before="80" w:after="80" w:line="360" w:lineRule="auto"/>
        <w:jc w:val="both"/>
        <w:rPr>
          <w:rFonts w:cs="Arial"/>
          <w:color w:val="262626"/>
          <w:szCs w:val="22"/>
          <w:lang w:val="en-US"/>
        </w:rPr>
      </w:pPr>
      <w:r w:rsidRPr="00DB6D42">
        <w:rPr>
          <w:rFonts w:cs="Arial"/>
          <w:i/>
          <w:color w:val="262626"/>
          <w:szCs w:val="22"/>
          <w:lang w:val="en-US"/>
        </w:rPr>
        <w:t xml:space="preserve">Methods. </w:t>
      </w:r>
      <w:r w:rsidRPr="00DB6D42">
        <w:rPr>
          <w:rFonts w:cs="Arial"/>
          <w:color w:val="262626"/>
          <w:szCs w:val="22"/>
          <w:lang w:val="en-US"/>
        </w:rPr>
        <w:t xml:space="preserve">Proof-of-concept, double-blinded </w:t>
      </w:r>
      <w:proofErr w:type="spellStart"/>
      <w:r w:rsidRPr="00DB6D42">
        <w:rPr>
          <w:rFonts w:cs="Arial"/>
          <w:color w:val="262626"/>
          <w:szCs w:val="22"/>
          <w:lang w:val="en-US"/>
        </w:rPr>
        <w:t>randomi</w:t>
      </w:r>
      <w:r w:rsidR="00E74A32" w:rsidRPr="00DB6D42">
        <w:rPr>
          <w:rFonts w:cs="Arial"/>
          <w:color w:val="262626"/>
          <w:szCs w:val="22"/>
          <w:lang w:val="en-US"/>
        </w:rPr>
        <w:t>s</w:t>
      </w:r>
      <w:r w:rsidRPr="00DB6D42">
        <w:rPr>
          <w:rFonts w:cs="Arial"/>
          <w:color w:val="262626"/>
          <w:szCs w:val="22"/>
          <w:lang w:val="en-US"/>
        </w:rPr>
        <w:t>ed</w:t>
      </w:r>
      <w:proofErr w:type="spellEnd"/>
      <w:r w:rsidRPr="00DB6D42">
        <w:rPr>
          <w:rFonts w:cs="Arial"/>
          <w:color w:val="262626"/>
          <w:szCs w:val="22"/>
          <w:lang w:val="en-US"/>
        </w:rPr>
        <w:t xml:space="preserve"> phase</w:t>
      </w:r>
      <w:r w:rsidR="005C1254" w:rsidRPr="00DB6D42">
        <w:rPr>
          <w:rFonts w:cs="Arial"/>
          <w:color w:val="262626"/>
          <w:szCs w:val="22"/>
          <w:lang w:val="en-US"/>
        </w:rPr>
        <w:t>-</w:t>
      </w:r>
      <w:r w:rsidRPr="00DB6D42">
        <w:rPr>
          <w:rFonts w:cs="Arial"/>
          <w:color w:val="262626"/>
          <w:szCs w:val="22"/>
          <w:lang w:val="en-US"/>
        </w:rPr>
        <w:t xml:space="preserve"> II clinical trial evaluating efficacy and safety of three oral E1224 regimens, </w:t>
      </w:r>
      <w:r w:rsidR="00D21359" w:rsidRPr="00DB6D42">
        <w:rPr>
          <w:rFonts w:cs="Arial"/>
          <w:color w:val="262626"/>
          <w:szCs w:val="22"/>
          <w:lang w:val="en-US"/>
        </w:rPr>
        <w:t xml:space="preserve">and </w:t>
      </w:r>
      <w:r w:rsidRPr="00DB6D42">
        <w:rPr>
          <w:rFonts w:cs="Arial"/>
          <w:color w:val="262626"/>
          <w:szCs w:val="22"/>
          <w:lang w:val="en-US"/>
        </w:rPr>
        <w:t xml:space="preserve">benznidazole (BZN) versus placebo in </w:t>
      </w:r>
      <w:r w:rsidR="00E74A32" w:rsidRPr="00DB6D42">
        <w:rPr>
          <w:rFonts w:cs="Arial"/>
          <w:color w:val="262626"/>
          <w:szCs w:val="22"/>
          <w:lang w:val="en-US"/>
        </w:rPr>
        <w:t xml:space="preserve">adult </w:t>
      </w:r>
      <w:r w:rsidRPr="00DB6D42">
        <w:rPr>
          <w:rFonts w:cs="Arial"/>
          <w:color w:val="262626"/>
          <w:szCs w:val="22"/>
          <w:lang w:val="en-US"/>
        </w:rPr>
        <w:t xml:space="preserve">chronic indeterminate </w:t>
      </w:r>
      <w:r w:rsidR="005C1254" w:rsidRPr="00DB6D42">
        <w:rPr>
          <w:rFonts w:cs="Arial"/>
          <w:color w:val="262626"/>
          <w:szCs w:val="22"/>
          <w:lang w:val="en-US"/>
        </w:rPr>
        <w:t>CD</w:t>
      </w:r>
      <w:r w:rsidRPr="00DB6D42">
        <w:rPr>
          <w:rFonts w:cs="Arial"/>
          <w:color w:val="262626"/>
          <w:szCs w:val="22"/>
          <w:lang w:val="en-US"/>
        </w:rPr>
        <w:t>. Parasite DNA clearance was assessed by PCR at end of treatment and until 12 months follow-up (sustained response, SR).</w:t>
      </w:r>
      <w:r w:rsidR="006159D6" w:rsidRPr="00DB6D42">
        <w:rPr>
          <w:rFonts w:cs="Arial"/>
          <w:color w:val="262626"/>
          <w:szCs w:val="22"/>
          <w:lang w:val="en-US"/>
        </w:rPr>
        <w:t xml:space="preserve"> </w:t>
      </w:r>
      <w:proofErr w:type="spellStart"/>
      <w:r w:rsidR="006159D6" w:rsidRPr="00DB6D42">
        <w:rPr>
          <w:rFonts w:cs="Arial"/>
          <w:color w:val="262626"/>
          <w:szCs w:val="22"/>
          <w:lang w:val="en-US"/>
        </w:rPr>
        <w:t>Trypanolytic</w:t>
      </w:r>
      <w:proofErr w:type="spellEnd"/>
      <w:r w:rsidR="006159D6" w:rsidRPr="00DB6D42">
        <w:rPr>
          <w:rFonts w:cs="Arial"/>
          <w:color w:val="262626"/>
          <w:szCs w:val="22"/>
          <w:lang w:val="en-US"/>
        </w:rPr>
        <w:t xml:space="preserve"> anti-α-Gal antibodies</w:t>
      </w:r>
      <w:r w:rsidR="00CA2C80" w:rsidRPr="00DB6D42">
        <w:rPr>
          <w:rFonts w:cs="Arial"/>
          <w:color w:val="262626"/>
          <w:szCs w:val="22"/>
          <w:lang w:val="en-US"/>
        </w:rPr>
        <w:t xml:space="preserve"> (AT</w:t>
      </w:r>
      <w:r w:rsidR="00BD35B5" w:rsidRPr="00DB6D42">
        <w:rPr>
          <w:rFonts w:cs="Arial"/>
          <w:color w:val="262626"/>
          <w:szCs w:val="22"/>
          <w:lang w:val="en-US"/>
        </w:rPr>
        <w:t>-</w:t>
      </w:r>
      <w:r w:rsidR="00CA2C80" w:rsidRPr="00DB6D42">
        <w:rPr>
          <w:rFonts w:cs="Arial"/>
          <w:color w:val="262626"/>
          <w:szCs w:val="22"/>
          <w:lang w:val="en-US"/>
        </w:rPr>
        <w:t>CL-ELISA)</w:t>
      </w:r>
      <w:r w:rsidR="009B4CCA" w:rsidRPr="00DB6D42">
        <w:rPr>
          <w:rFonts w:cs="Arial"/>
          <w:color w:val="262626"/>
          <w:szCs w:val="22"/>
          <w:lang w:val="en-US"/>
        </w:rPr>
        <w:t xml:space="preserve"> </w:t>
      </w:r>
      <w:r w:rsidR="006159D6" w:rsidRPr="00DB6D42">
        <w:rPr>
          <w:rFonts w:cs="Arial"/>
          <w:color w:val="262626"/>
          <w:szCs w:val="22"/>
          <w:lang w:val="en-US"/>
        </w:rPr>
        <w:t>and conventional serological methods were also evaluated.</w:t>
      </w:r>
    </w:p>
    <w:p w14:paraId="286C678F" w14:textId="65081FDA" w:rsidR="00314F50" w:rsidRPr="00DB6D42" w:rsidRDefault="009A7B17" w:rsidP="00BB5FF5">
      <w:pPr>
        <w:spacing w:before="80" w:after="80" w:line="360" w:lineRule="auto"/>
        <w:jc w:val="both"/>
        <w:rPr>
          <w:rFonts w:cs="Arial"/>
          <w:i/>
          <w:color w:val="262626"/>
          <w:szCs w:val="22"/>
          <w:lang w:val="en-US"/>
        </w:rPr>
      </w:pPr>
      <w:r w:rsidRPr="00DB6D42">
        <w:rPr>
          <w:rFonts w:cs="Arial"/>
          <w:i/>
          <w:color w:val="262626"/>
          <w:szCs w:val="22"/>
          <w:lang w:val="en-US"/>
        </w:rPr>
        <w:t>Findings</w:t>
      </w:r>
      <w:r w:rsidR="00314F50" w:rsidRPr="00DB6D42">
        <w:rPr>
          <w:rFonts w:cs="Arial"/>
          <w:i/>
          <w:color w:val="262626"/>
          <w:szCs w:val="22"/>
          <w:lang w:val="en-US"/>
        </w:rPr>
        <w:t xml:space="preserve">. </w:t>
      </w:r>
      <w:r w:rsidR="00314F50" w:rsidRPr="00DB6D42">
        <w:rPr>
          <w:rFonts w:cs="Arial"/>
          <w:color w:val="262626"/>
          <w:szCs w:val="22"/>
          <w:lang w:val="en-US"/>
        </w:rPr>
        <w:t>The trial enrolled 231 patients. Parasite clearance was observed with E1224 during the treatment phase, but no SR was seen with E1224 low</w:t>
      </w:r>
      <w:r w:rsidR="00CA2D1E" w:rsidRPr="00DB6D42">
        <w:rPr>
          <w:rFonts w:cs="Arial"/>
          <w:color w:val="262626"/>
          <w:szCs w:val="22"/>
          <w:lang w:val="en-US"/>
        </w:rPr>
        <w:t>-</w:t>
      </w:r>
      <w:r w:rsidR="00314F50" w:rsidRPr="00DB6D42">
        <w:rPr>
          <w:rFonts w:cs="Arial"/>
          <w:color w:val="262626"/>
          <w:szCs w:val="22"/>
          <w:lang w:val="en-US"/>
        </w:rPr>
        <w:t>dose (</w:t>
      </w:r>
      <w:r w:rsidR="005C1254" w:rsidRPr="00DB6D42">
        <w:rPr>
          <w:rFonts w:cs="Arial"/>
          <w:color w:val="262626"/>
          <w:szCs w:val="22"/>
          <w:lang w:val="en-US"/>
        </w:rPr>
        <w:t>total dose=</w:t>
      </w:r>
      <w:r w:rsidR="00314F50" w:rsidRPr="00DB6D42">
        <w:rPr>
          <w:rFonts w:cs="Arial"/>
          <w:color w:val="262626"/>
          <w:szCs w:val="22"/>
          <w:lang w:val="en-US"/>
        </w:rPr>
        <w:t>2000</w:t>
      </w:r>
      <w:r w:rsidR="003C70DE" w:rsidRPr="00DB6D42">
        <w:rPr>
          <w:rFonts w:cs="Arial"/>
          <w:color w:val="262626"/>
          <w:szCs w:val="22"/>
          <w:lang w:val="en-US"/>
        </w:rPr>
        <w:t xml:space="preserve"> </w:t>
      </w:r>
      <w:r w:rsidR="00314F50" w:rsidRPr="00DB6D42">
        <w:rPr>
          <w:rFonts w:cs="Arial"/>
          <w:color w:val="262626"/>
          <w:szCs w:val="22"/>
          <w:lang w:val="en-US"/>
        </w:rPr>
        <w:t>mg) and short</w:t>
      </w:r>
      <w:r w:rsidR="00CA2D1E" w:rsidRPr="00DB6D42">
        <w:rPr>
          <w:rFonts w:cs="Arial"/>
          <w:color w:val="262626"/>
          <w:szCs w:val="22"/>
          <w:lang w:val="en-US"/>
        </w:rPr>
        <w:t>-</w:t>
      </w:r>
      <w:r w:rsidR="00314F50" w:rsidRPr="00DB6D42">
        <w:rPr>
          <w:rFonts w:cs="Arial"/>
          <w:color w:val="262626"/>
          <w:szCs w:val="22"/>
          <w:lang w:val="en-US"/>
        </w:rPr>
        <w:t>dose (</w:t>
      </w:r>
      <w:r w:rsidR="005C1254" w:rsidRPr="00DB6D42">
        <w:rPr>
          <w:rFonts w:cs="Arial"/>
          <w:color w:val="262626"/>
          <w:szCs w:val="22"/>
          <w:lang w:val="en-US"/>
        </w:rPr>
        <w:t>total dose=</w:t>
      </w:r>
      <w:r w:rsidR="00314F50" w:rsidRPr="00DB6D42">
        <w:rPr>
          <w:rFonts w:cs="Arial"/>
          <w:color w:val="262626"/>
          <w:szCs w:val="22"/>
          <w:lang w:val="en-US"/>
        </w:rPr>
        <w:t>2400</w:t>
      </w:r>
      <w:r w:rsidR="003C70DE" w:rsidRPr="00DB6D42">
        <w:rPr>
          <w:rFonts w:cs="Arial"/>
          <w:color w:val="262626"/>
          <w:szCs w:val="22"/>
          <w:lang w:val="en-US"/>
        </w:rPr>
        <w:t xml:space="preserve"> </w:t>
      </w:r>
      <w:r w:rsidR="00314F50" w:rsidRPr="00DB6D42">
        <w:rPr>
          <w:rFonts w:cs="Arial"/>
          <w:color w:val="262626"/>
          <w:szCs w:val="22"/>
          <w:lang w:val="en-US"/>
        </w:rPr>
        <w:t>mg) regimens, whereas 28</w:t>
      </w:r>
      <w:r w:rsidR="00474B34" w:rsidRPr="00DB6D42">
        <w:rPr>
          <w:rFonts w:cs="Arial"/>
          <w:color w:val="262626"/>
          <w:szCs w:val="22"/>
          <w:lang w:val="en-US"/>
        </w:rPr>
        <w:t>·</w:t>
      </w:r>
      <w:r w:rsidR="00314F50" w:rsidRPr="00DB6D42">
        <w:rPr>
          <w:rFonts w:cs="Arial"/>
          <w:color w:val="262626"/>
          <w:szCs w:val="22"/>
          <w:lang w:val="en-US"/>
        </w:rPr>
        <w:t>9% of patients had SR with the E1224 high</w:t>
      </w:r>
      <w:r w:rsidR="005F706B" w:rsidRPr="00DB6D42">
        <w:rPr>
          <w:rFonts w:cs="Arial"/>
          <w:color w:val="262626"/>
          <w:szCs w:val="22"/>
          <w:lang w:val="en-US"/>
        </w:rPr>
        <w:t>-</w:t>
      </w:r>
      <w:r w:rsidR="00314F50" w:rsidRPr="00DB6D42">
        <w:rPr>
          <w:rFonts w:cs="Arial"/>
          <w:color w:val="262626"/>
          <w:szCs w:val="22"/>
          <w:lang w:val="en-US"/>
        </w:rPr>
        <w:t>dose regi</w:t>
      </w:r>
      <w:r w:rsidR="00474B34" w:rsidRPr="00DB6D42">
        <w:rPr>
          <w:rFonts w:cs="Arial"/>
          <w:color w:val="262626"/>
          <w:szCs w:val="22"/>
          <w:lang w:val="en-US"/>
        </w:rPr>
        <w:t>men (</w:t>
      </w:r>
      <w:r w:rsidR="005C1254" w:rsidRPr="00DB6D42">
        <w:rPr>
          <w:rFonts w:cs="Arial"/>
          <w:color w:val="262626"/>
          <w:szCs w:val="22"/>
          <w:lang w:val="en-US"/>
        </w:rPr>
        <w:t>total dose=</w:t>
      </w:r>
      <w:r w:rsidR="00474B34" w:rsidRPr="00DB6D42">
        <w:rPr>
          <w:rFonts w:cs="Arial"/>
          <w:color w:val="262626"/>
          <w:szCs w:val="22"/>
          <w:lang w:val="en-US"/>
        </w:rPr>
        <w:t>4000</w:t>
      </w:r>
      <w:r w:rsidR="003C70DE" w:rsidRPr="00DB6D42">
        <w:rPr>
          <w:rFonts w:cs="Arial"/>
          <w:color w:val="262626"/>
          <w:szCs w:val="22"/>
          <w:lang w:val="en-US"/>
        </w:rPr>
        <w:t xml:space="preserve"> </w:t>
      </w:r>
      <w:r w:rsidR="00474B34" w:rsidRPr="00DB6D42">
        <w:rPr>
          <w:rFonts w:cs="Arial"/>
          <w:color w:val="262626"/>
          <w:szCs w:val="22"/>
          <w:lang w:val="en-US"/>
        </w:rPr>
        <w:t>mg). BZN (</w:t>
      </w:r>
      <w:r w:rsidR="00526CE7" w:rsidRPr="00DB6D42">
        <w:rPr>
          <w:rFonts w:cs="Arial"/>
          <w:color w:val="262626"/>
          <w:szCs w:val="22"/>
          <w:lang w:val="en-US"/>
        </w:rPr>
        <w:t>2.</w:t>
      </w:r>
      <w:r w:rsidR="00474B34" w:rsidRPr="00DB6D42">
        <w:rPr>
          <w:rFonts w:cs="Arial"/>
          <w:color w:val="262626"/>
          <w:szCs w:val="22"/>
          <w:lang w:val="en-US"/>
        </w:rPr>
        <w:t>5</w:t>
      </w:r>
      <w:r w:rsidR="003C70DE" w:rsidRPr="00DB6D42">
        <w:rPr>
          <w:rFonts w:cs="Arial"/>
          <w:color w:val="262626"/>
          <w:szCs w:val="22"/>
          <w:lang w:val="en-US"/>
        </w:rPr>
        <w:t xml:space="preserve"> </w:t>
      </w:r>
      <w:r w:rsidR="00314F50" w:rsidRPr="00DB6D42">
        <w:rPr>
          <w:rFonts w:cs="Arial"/>
          <w:color w:val="262626"/>
          <w:szCs w:val="22"/>
          <w:lang w:val="en-US"/>
        </w:rPr>
        <w:t xml:space="preserve">mg/kg/day orally </w:t>
      </w:r>
      <w:r w:rsidR="00526CE7" w:rsidRPr="00DB6D42">
        <w:rPr>
          <w:rFonts w:cs="Arial"/>
          <w:color w:val="262626"/>
          <w:szCs w:val="22"/>
          <w:lang w:val="en-US"/>
        </w:rPr>
        <w:t>BID</w:t>
      </w:r>
      <w:r w:rsidR="00314F50" w:rsidRPr="00DB6D42">
        <w:rPr>
          <w:rFonts w:cs="Arial"/>
          <w:color w:val="262626"/>
          <w:szCs w:val="22"/>
          <w:lang w:val="en-US"/>
        </w:rPr>
        <w:t>, 60 days) had a rapid and sustained effect on parasite clearance (</w:t>
      </w:r>
      <w:r w:rsidR="0057483A" w:rsidRPr="00DB6D42">
        <w:rPr>
          <w:rFonts w:cs="Arial"/>
          <w:color w:val="262626"/>
          <w:szCs w:val="22"/>
          <w:lang w:val="en-US"/>
        </w:rPr>
        <w:t>82</w:t>
      </w:r>
      <w:r w:rsidR="00474B34" w:rsidRPr="00DB6D42">
        <w:rPr>
          <w:rFonts w:cs="Arial"/>
          <w:color w:val="262626"/>
          <w:szCs w:val="22"/>
          <w:lang w:val="en-US"/>
        </w:rPr>
        <w:t>·</w:t>
      </w:r>
      <w:r w:rsidR="0057483A" w:rsidRPr="00DB6D42">
        <w:rPr>
          <w:rFonts w:cs="Arial"/>
          <w:color w:val="262626"/>
          <w:szCs w:val="22"/>
          <w:lang w:val="en-US"/>
        </w:rPr>
        <w:t>2</w:t>
      </w:r>
      <w:r w:rsidR="00314F50" w:rsidRPr="00DB6D42">
        <w:rPr>
          <w:rFonts w:cs="Arial"/>
          <w:color w:val="262626"/>
          <w:szCs w:val="22"/>
          <w:lang w:val="en-US"/>
        </w:rPr>
        <w:t>%</w:t>
      </w:r>
      <w:r w:rsidR="0057483A" w:rsidRPr="00DB6D42">
        <w:rPr>
          <w:rFonts w:cs="Arial"/>
          <w:color w:val="262626"/>
          <w:szCs w:val="22"/>
          <w:lang w:val="en-US"/>
        </w:rPr>
        <w:t>, 95%CI</w:t>
      </w:r>
      <w:r w:rsidR="00D8658B" w:rsidRPr="00DB6D42">
        <w:rPr>
          <w:rFonts w:cs="Arial"/>
          <w:color w:val="262626"/>
          <w:szCs w:val="22"/>
          <w:lang w:val="en-US"/>
        </w:rPr>
        <w:t>=</w:t>
      </w:r>
      <w:r w:rsidR="0057483A" w:rsidRPr="00DB6D42">
        <w:rPr>
          <w:rFonts w:cs="Arial"/>
          <w:color w:val="262626"/>
          <w:szCs w:val="22"/>
          <w:lang w:val="en-US"/>
        </w:rPr>
        <w:t>[67</w:t>
      </w:r>
      <w:r w:rsidR="0031071F" w:rsidRPr="00DB6D42">
        <w:rPr>
          <w:lang w:val="en-US"/>
        </w:rPr>
        <w:t>·</w:t>
      </w:r>
      <w:r w:rsidR="0057483A" w:rsidRPr="00DB6D42">
        <w:rPr>
          <w:rFonts w:cs="Arial"/>
          <w:color w:val="262626"/>
          <w:szCs w:val="22"/>
          <w:lang w:val="en-US"/>
        </w:rPr>
        <w:t>9;92</w:t>
      </w:r>
      <w:r w:rsidR="0031071F" w:rsidRPr="00DB6D42">
        <w:rPr>
          <w:lang w:val="en-US"/>
        </w:rPr>
        <w:t>·</w:t>
      </w:r>
      <w:r w:rsidR="0057483A" w:rsidRPr="00DB6D42">
        <w:rPr>
          <w:rFonts w:cs="Arial"/>
          <w:color w:val="262626"/>
          <w:szCs w:val="22"/>
          <w:lang w:val="en-US"/>
        </w:rPr>
        <w:t>0]</w:t>
      </w:r>
      <w:r w:rsidR="00314F50" w:rsidRPr="00DB6D42">
        <w:rPr>
          <w:rFonts w:cs="Arial"/>
          <w:color w:val="262626"/>
          <w:szCs w:val="22"/>
          <w:lang w:val="en-US"/>
        </w:rPr>
        <w:t>)</w:t>
      </w:r>
      <w:r w:rsidR="00CA2C80" w:rsidRPr="00DB6D42">
        <w:rPr>
          <w:rFonts w:cs="Arial"/>
          <w:color w:val="262626"/>
          <w:szCs w:val="22"/>
          <w:lang w:val="en-US"/>
        </w:rPr>
        <w:t xml:space="preserve">. </w:t>
      </w:r>
      <w:r w:rsidR="00E24DE8" w:rsidRPr="00DB6D42">
        <w:rPr>
          <w:rFonts w:cs="Arial"/>
          <w:color w:val="262626"/>
          <w:szCs w:val="22"/>
          <w:lang w:val="en-US"/>
        </w:rPr>
        <w:t>P</w:t>
      </w:r>
      <w:r w:rsidR="00314F50" w:rsidRPr="00DB6D42">
        <w:rPr>
          <w:rFonts w:cs="Arial"/>
          <w:color w:val="262626"/>
          <w:szCs w:val="22"/>
          <w:lang w:val="en-US"/>
        </w:rPr>
        <w:t xml:space="preserve">lacebo group </w:t>
      </w:r>
      <w:r w:rsidR="00E24DE8" w:rsidRPr="00DB6D42">
        <w:rPr>
          <w:rFonts w:cs="Arial"/>
          <w:color w:val="262626"/>
          <w:szCs w:val="22"/>
          <w:lang w:val="en-US"/>
        </w:rPr>
        <w:t xml:space="preserve">SR </w:t>
      </w:r>
      <w:r w:rsidR="00314F50" w:rsidRPr="00DB6D42">
        <w:rPr>
          <w:rFonts w:cs="Arial"/>
          <w:color w:val="262626"/>
          <w:szCs w:val="22"/>
          <w:lang w:val="en-US"/>
        </w:rPr>
        <w:t>was 8</w:t>
      </w:r>
      <w:r w:rsidR="00474B34" w:rsidRPr="00DB6D42">
        <w:rPr>
          <w:rFonts w:cs="Arial"/>
          <w:color w:val="262626"/>
          <w:szCs w:val="22"/>
          <w:lang w:val="en-US"/>
        </w:rPr>
        <w:t>·</w:t>
      </w:r>
      <w:r w:rsidR="00314F50" w:rsidRPr="00DB6D42">
        <w:rPr>
          <w:rFonts w:cs="Arial"/>
          <w:color w:val="262626"/>
          <w:szCs w:val="22"/>
          <w:lang w:val="en-US"/>
        </w:rPr>
        <w:t>5%</w:t>
      </w:r>
      <w:r w:rsidR="0057483A" w:rsidRPr="00DB6D42">
        <w:rPr>
          <w:rFonts w:cs="Arial"/>
          <w:color w:val="262626"/>
          <w:szCs w:val="22"/>
          <w:lang w:val="en-US"/>
        </w:rPr>
        <w:t>(95%CI=[2</w:t>
      </w:r>
      <w:r w:rsidR="0031071F" w:rsidRPr="00DB6D42">
        <w:rPr>
          <w:lang w:val="en-US"/>
        </w:rPr>
        <w:t>·</w:t>
      </w:r>
      <w:r w:rsidR="0057483A" w:rsidRPr="00DB6D42">
        <w:rPr>
          <w:rFonts w:cs="Arial"/>
          <w:color w:val="262626"/>
          <w:szCs w:val="22"/>
          <w:lang w:val="en-US"/>
        </w:rPr>
        <w:t>4;20</w:t>
      </w:r>
      <w:r w:rsidR="0031071F" w:rsidRPr="00DB6D42">
        <w:rPr>
          <w:lang w:val="en-US"/>
        </w:rPr>
        <w:t>·</w:t>
      </w:r>
      <w:r w:rsidR="0057483A" w:rsidRPr="00DB6D42">
        <w:rPr>
          <w:rFonts w:cs="Arial"/>
          <w:color w:val="262626"/>
          <w:szCs w:val="22"/>
          <w:lang w:val="en-US"/>
        </w:rPr>
        <w:t>4])</w:t>
      </w:r>
      <w:r w:rsidR="00314F50" w:rsidRPr="00DB6D42">
        <w:rPr>
          <w:rFonts w:cs="Arial"/>
          <w:color w:val="262626"/>
          <w:szCs w:val="22"/>
          <w:lang w:val="en-US"/>
        </w:rPr>
        <w:t xml:space="preserve">. </w:t>
      </w:r>
      <w:r w:rsidR="00CA2C80" w:rsidRPr="00DB6D42">
        <w:rPr>
          <w:rFonts w:cs="Arial"/>
          <w:color w:val="262626"/>
          <w:szCs w:val="22"/>
          <w:lang w:val="en-US"/>
        </w:rPr>
        <w:t xml:space="preserve">Statistically significant </w:t>
      </w:r>
      <w:r w:rsidR="00E74A32" w:rsidRPr="00DB6D42">
        <w:rPr>
          <w:rFonts w:cs="Arial"/>
          <w:color w:val="262626"/>
          <w:szCs w:val="22"/>
          <w:lang w:val="en-US"/>
        </w:rPr>
        <w:t>AT</w:t>
      </w:r>
      <w:r w:rsidR="00BD35B5" w:rsidRPr="00DB6D42">
        <w:rPr>
          <w:rFonts w:cs="Arial"/>
          <w:color w:val="262626"/>
          <w:szCs w:val="22"/>
          <w:lang w:val="en-US"/>
        </w:rPr>
        <w:t>-</w:t>
      </w:r>
      <w:r w:rsidR="00E74A32" w:rsidRPr="00DB6D42">
        <w:rPr>
          <w:rFonts w:cs="Arial"/>
          <w:color w:val="262626"/>
          <w:szCs w:val="22"/>
          <w:lang w:val="en-US"/>
        </w:rPr>
        <w:t>CL-ELISA</w:t>
      </w:r>
      <w:r w:rsidR="00E74A32" w:rsidRPr="00DB6D42" w:rsidDel="00E74A32">
        <w:rPr>
          <w:rFonts w:cs="Arial"/>
          <w:color w:val="262626"/>
          <w:szCs w:val="22"/>
          <w:lang w:val="en-US"/>
        </w:rPr>
        <w:t xml:space="preserve"> </w:t>
      </w:r>
      <w:r w:rsidR="00526CE7" w:rsidRPr="00DB6D42">
        <w:rPr>
          <w:rFonts w:cs="Arial"/>
          <w:color w:val="262626"/>
          <w:szCs w:val="22"/>
          <w:lang w:val="en-US"/>
        </w:rPr>
        <w:t xml:space="preserve">titer reduction </w:t>
      </w:r>
      <w:r w:rsidR="00CA2C80" w:rsidRPr="00DB6D42">
        <w:rPr>
          <w:rFonts w:cs="Arial"/>
          <w:color w:val="262626"/>
          <w:szCs w:val="22"/>
          <w:lang w:val="en-US"/>
        </w:rPr>
        <w:t xml:space="preserve">was observed </w:t>
      </w:r>
      <w:r w:rsidR="00C42001" w:rsidRPr="00DB6D42">
        <w:rPr>
          <w:rFonts w:cs="Arial"/>
          <w:color w:val="262626"/>
          <w:szCs w:val="22"/>
          <w:lang w:val="en-US"/>
        </w:rPr>
        <w:t xml:space="preserve">only </w:t>
      </w:r>
      <w:r w:rsidR="00CA2C80" w:rsidRPr="00DB6D42">
        <w:rPr>
          <w:rFonts w:cs="Arial"/>
          <w:color w:val="262626"/>
          <w:szCs w:val="22"/>
          <w:lang w:val="en-US"/>
        </w:rPr>
        <w:t xml:space="preserve">in BZN-treated patients. </w:t>
      </w:r>
      <w:r w:rsidR="008E1847" w:rsidRPr="00DB6D42">
        <w:rPr>
          <w:rFonts w:cs="Arial"/>
          <w:color w:val="262626"/>
          <w:szCs w:val="22"/>
          <w:lang w:val="en-US"/>
        </w:rPr>
        <w:t>H</w:t>
      </w:r>
      <w:r w:rsidR="00314F50" w:rsidRPr="00DB6D42">
        <w:rPr>
          <w:rFonts w:cs="Arial"/>
          <w:color w:val="262626"/>
          <w:szCs w:val="22"/>
          <w:lang w:val="en-US"/>
        </w:rPr>
        <w:t>uman data on PCR standardization and pharmacokinetic/pharmacodynamic</w:t>
      </w:r>
      <w:r w:rsidR="00D265CA" w:rsidRPr="00DB6D42">
        <w:rPr>
          <w:rFonts w:cs="Arial"/>
          <w:color w:val="262626"/>
          <w:szCs w:val="22"/>
          <w:lang w:val="en-US"/>
        </w:rPr>
        <w:t xml:space="preserve">s </w:t>
      </w:r>
      <w:r w:rsidR="00314F50" w:rsidRPr="00DB6D42">
        <w:rPr>
          <w:rFonts w:cs="Arial"/>
          <w:color w:val="262626"/>
          <w:szCs w:val="22"/>
          <w:lang w:val="en-US"/>
        </w:rPr>
        <w:t>were generated. Both treatments were well tolerated. Reversible, dose-dependent liver enzyme increases were seen with E1224 and BZN.</w:t>
      </w:r>
      <w:r w:rsidR="00314F50" w:rsidRPr="00DB6D42">
        <w:rPr>
          <w:rFonts w:cs="Arial"/>
          <w:i/>
          <w:color w:val="262626"/>
          <w:szCs w:val="22"/>
          <w:lang w:val="en-US"/>
        </w:rPr>
        <w:t xml:space="preserve"> </w:t>
      </w:r>
    </w:p>
    <w:p w14:paraId="61CDAC7E" w14:textId="6CE59DF3" w:rsidR="00DA4945" w:rsidRPr="00DB6D42" w:rsidRDefault="009A7B17" w:rsidP="00BB5FF5">
      <w:pPr>
        <w:spacing w:before="80" w:after="80" w:line="360" w:lineRule="auto"/>
        <w:jc w:val="both"/>
        <w:rPr>
          <w:rFonts w:cs="Arial"/>
          <w:i/>
          <w:color w:val="262626"/>
          <w:szCs w:val="22"/>
          <w:lang w:val="en-US"/>
        </w:rPr>
      </w:pPr>
      <w:r w:rsidRPr="00DB6D42">
        <w:rPr>
          <w:rFonts w:cs="Arial"/>
          <w:i/>
          <w:color w:val="262626"/>
          <w:szCs w:val="22"/>
          <w:lang w:val="en-US"/>
        </w:rPr>
        <w:t>Interpretation</w:t>
      </w:r>
      <w:r w:rsidR="00314F50" w:rsidRPr="00DB6D42">
        <w:rPr>
          <w:rFonts w:cs="Arial"/>
          <w:i/>
          <w:color w:val="262626"/>
          <w:szCs w:val="22"/>
          <w:lang w:val="en-US"/>
        </w:rPr>
        <w:t xml:space="preserve">. </w:t>
      </w:r>
      <w:r w:rsidR="00314F50" w:rsidRPr="00DB6D42">
        <w:rPr>
          <w:rFonts w:cs="Arial"/>
          <w:color w:val="262626"/>
          <w:szCs w:val="22"/>
          <w:lang w:val="en-US"/>
        </w:rPr>
        <w:t xml:space="preserve">E1224 is the first new chemical entity developed for </w:t>
      </w:r>
      <w:r w:rsidR="005C1254" w:rsidRPr="00DB6D42">
        <w:rPr>
          <w:rFonts w:cs="Arial"/>
          <w:color w:val="262626"/>
          <w:szCs w:val="22"/>
          <w:lang w:val="en-US"/>
        </w:rPr>
        <w:t>CD</w:t>
      </w:r>
      <w:r w:rsidR="00314F50" w:rsidRPr="00DB6D42">
        <w:rPr>
          <w:rFonts w:cs="Arial"/>
          <w:color w:val="262626"/>
          <w:szCs w:val="22"/>
          <w:lang w:val="en-US"/>
        </w:rPr>
        <w:t xml:space="preserve"> </w:t>
      </w:r>
      <w:r w:rsidR="00D265CA" w:rsidRPr="00DB6D42">
        <w:rPr>
          <w:rFonts w:cs="Arial"/>
          <w:color w:val="262626"/>
          <w:szCs w:val="22"/>
          <w:lang w:val="en-US"/>
        </w:rPr>
        <w:t xml:space="preserve">in </w:t>
      </w:r>
      <w:r w:rsidR="00314F50" w:rsidRPr="00DB6D42">
        <w:rPr>
          <w:rFonts w:cs="Arial"/>
          <w:color w:val="262626"/>
          <w:szCs w:val="22"/>
          <w:lang w:val="en-US"/>
        </w:rPr>
        <w:t>decade</w:t>
      </w:r>
      <w:r w:rsidR="00D265CA" w:rsidRPr="00DB6D42">
        <w:rPr>
          <w:rFonts w:cs="Arial"/>
          <w:color w:val="262626"/>
          <w:szCs w:val="22"/>
          <w:lang w:val="en-US"/>
        </w:rPr>
        <w:t>s</w:t>
      </w:r>
      <w:r w:rsidR="00314F50" w:rsidRPr="00DB6D42">
        <w:rPr>
          <w:rFonts w:cs="Arial"/>
          <w:color w:val="262626"/>
          <w:szCs w:val="22"/>
          <w:lang w:val="en-US"/>
        </w:rPr>
        <w:t>. E1224 displayed a transient, suppressive effect on parasite clearance, whilst BZN showed early and sustained efficacy</w:t>
      </w:r>
      <w:r w:rsidR="007F3F1D" w:rsidRPr="00DB6D42">
        <w:rPr>
          <w:rFonts w:cs="Arial"/>
          <w:color w:val="262626"/>
          <w:szCs w:val="22"/>
          <w:lang w:val="en-US"/>
        </w:rPr>
        <w:t xml:space="preserve"> until 12 months</w:t>
      </w:r>
      <w:r w:rsidR="00314F50" w:rsidRPr="00DB6D42">
        <w:rPr>
          <w:rFonts w:cs="Arial"/>
          <w:color w:val="262626"/>
          <w:szCs w:val="22"/>
          <w:lang w:val="en-US"/>
        </w:rPr>
        <w:t xml:space="preserve">. </w:t>
      </w:r>
      <w:r w:rsidR="007F3F1D" w:rsidRPr="00DB6D42">
        <w:rPr>
          <w:rFonts w:cs="Arial"/>
          <w:color w:val="262626"/>
          <w:szCs w:val="22"/>
          <w:lang w:val="en-US"/>
        </w:rPr>
        <w:t xml:space="preserve">Despite </w:t>
      </w:r>
      <w:r w:rsidR="0090497A" w:rsidRPr="00DB6D42">
        <w:rPr>
          <w:rFonts w:cs="Arial"/>
          <w:color w:val="262626"/>
          <w:szCs w:val="22"/>
          <w:lang w:val="en-US"/>
        </w:rPr>
        <w:t xml:space="preserve">PCR </w:t>
      </w:r>
      <w:r w:rsidR="007F3F1D" w:rsidRPr="00DB6D42">
        <w:rPr>
          <w:rFonts w:cs="Arial"/>
          <w:color w:val="262626"/>
          <w:szCs w:val="22"/>
          <w:lang w:val="en-US"/>
        </w:rPr>
        <w:t>limitations</w:t>
      </w:r>
      <w:r w:rsidR="003B3B57" w:rsidRPr="00DB6D42">
        <w:rPr>
          <w:rFonts w:cs="Arial"/>
          <w:color w:val="262626"/>
          <w:szCs w:val="22"/>
          <w:lang w:val="en-US"/>
        </w:rPr>
        <w:t xml:space="preserve">, </w:t>
      </w:r>
      <w:r w:rsidR="00314F50" w:rsidRPr="00DB6D42">
        <w:rPr>
          <w:rFonts w:cs="Arial"/>
          <w:color w:val="262626"/>
          <w:szCs w:val="22"/>
          <w:lang w:val="en-US"/>
        </w:rPr>
        <w:t xml:space="preserve">results support </w:t>
      </w:r>
      <w:r w:rsidR="00E74A32" w:rsidRPr="00DB6D42">
        <w:rPr>
          <w:rFonts w:cs="Arial"/>
          <w:color w:val="262626"/>
          <w:szCs w:val="22"/>
          <w:lang w:val="en-US"/>
        </w:rPr>
        <w:t>increased</w:t>
      </w:r>
      <w:r w:rsidR="00314F50" w:rsidRPr="00DB6D42">
        <w:rPr>
          <w:rFonts w:cs="Arial"/>
          <w:color w:val="262626"/>
          <w:szCs w:val="22"/>
          <w:lang w:val="en-US"/>
        </w:rPr>
        <w:t xml:space="preserve"> diagnosis and access to BZN standard regimen, and provide a </w:t>
      </w:r>
      <w:r w:rsidR="00D265CA" w:rsidRPr="00DB6D42">
        <w:rPr>
          <w:rFonts w:cs="Arial"/>
          <w:color w:val="262626"/>
          <w:szCs w:val="22"/>
          <w:lang w:val="en-US"/>
        </w:rPr>
        <w:t xml:space="preserve">development </w:t>
      </w:r>
      <w:r w:rsidR="00314F50" w:rsidRPr="00DB6D42">
        <w:rPr>
          <w:rFonts w:cs="Arial"/>
          <w:color w:val="262626"/>
          <w:szCs w:val="22"/>
          <w:lang w:val="en-US"/>
        </w:rPr>
        <w:t xml:space="preserve">roadmap </w:t>
      </w:r>
      <w:r w:rsidR="00D265CA" w:rsidRPr="00DB6D42">
        <w:rPr>
          <w:rFonts w:cs="Arial"/>
          <w:color w:val="262626"/>
          <w:szCs w:val="22"/>
          <w:lang w:val="en-US"/>
        </w:rPr>
        <w:t>for</w:t>
      </w:r>
      <w:r w:rsidR="00314F50" w:rsidRPr="00DB6D42">
        <w:rPr>
          <w:rFonts w:cs="Arial"/>
          <w:color w:val="262626"/>
          <w:szCs w:val="22"/>
          <w:lang w:val="en-US"/>
        </w:rPr>
        <w:t xml:space="preserve"> novel </w:t>
      </w:r>
      <w:r w:rsidR="005C1254" w:rsidRPr="00DB6D42">
        <w:rPr>
          <w:rFonts w:cs="Arial"/>
          <w:color w:val="262626"/>
          <w:szCs w:val="22"/>
          <w:lang w:val="en-US"/>
        </w:rPr>
        <w:t xml:space="preserve">BZN </w:t>
      </w:r>
      <w:r w:rsidR="00314F50" w:rsidRPr="00DB6D42">
        <w:rPr>
          <w:rFonts w:cs="Arial"/>
          <w:color w:val="262626"/>
          <w:szCs w:val="22"/>
          <w:lang w:val="en-US"/>
        </w:rPr>
        <w:t>regimens in monotherapy and in combinations with E1224. (</w:t>
      </w:r>
      <w:hyperlink r:id="rId9" w:history="1">
        <w:r w:rsidR="00314F50" w:rsidRPr="00DB6D42">
          <w:rPr>
            <w:rStyle w:val="Hyperlink"/>
            <w:rFonts w:cs="Arial"/>
            <w:szCs w:val="22"/>
            <w:lang w:val="en-US"/>
          </w:rPr>
          <w:t>Clinical Trials Identifier NCT01489228</w:t>
        </w:r>
      </w:hyperlink>
      <w:r w:rsidR="00314F50" w:rsidRPr="00DB6D42">
        <w:rPr>
          <w:rFonts w:cs="Arial"/>
          <w:color w:val="262626"/>
          <w:szCs w:val="22"/>
          <w:lang w:val="en-US"/>
        </w:rPr>
        <w:t>)</w:t>
      </w:r>
      <w:r w:rsidR="00314F50" w:rsidRPr="00DB6D42">
        <w:rPr>
          <w:rFonts w:cs="Arial"/>
          <w:i/>
          <w:color w:val="262626"/>
          <w:szCs w:val="22"/>
          <w:lang w:val="en-US"/>
        </w:rPr>
        <w:t>.</w:t>
      </w:r>
    </w:p>
    <w:p w14:paraId="2A5F4BEB" w14:textId="77777777" w:rsidR="002A74CE" w:rsidRPr="00DB6D42" w:rsidRDefault="002A74CE" w:rsidP="00BB5FF5">
      <w:pPr>
        <w:spacing w:before="80" w:after="80" w:line="360" w:lineRule="auto"/>
        <w:jc w:val="both"/>
        <w:rPr>
          <w:szCs w:val="22"/>
          <w:lang w:val="en-US"/>
        </w:rPr>
      </w:pPr>
      <w:r w:rsidRPr="00DB6D42">
        <w:rPr>
          <w:rFonts w:cs="Arial"/>
          <w:i/>
          <w:color w:val="262626"/>
          <w:szCs w:val="22"/>
          <w:lang w:val="en-US"/>
        </w:rPr>
        <w:t xml:space="preserve">Funding. </w:t>
      </w:r>
      <w:r w:rsidRPr="00DB6D42">
        <w:rPr>
          <w:rFonts w:cs="Arial"/>
          <w:color w:val="262626"/>
          <w:szCs w:val="22"/>
          <w:lang w:val="en-US"/>
        </w:rPr>
        <w:t>Various donors</w:t>
      </w:r>
      <w:r w:rsidRPr="00DB6D42">
        <w:rPr>
          <w:rFonts w:cs="Arial"/>
          <w:i/>
          <w:color w:val="262626"/>
          <w:szCs w:val="22"/>
          <w:lang w:val="en-US"/>
        </w:rPr>
        <w:t xml:space="preserve"> </w:t>
      </w:r>
      <w:r w:rsidRPr="00DB6D42">
        <w:rPr>
          <w:rFonts w:cs="Arial"/>
          <w:color w:val="262626"/>
          <w:szCs w:val="22"/>
          <w:lang w:val="en-US"/>
        </w:rPr>
        <w:t>through DND</w:t>
      </w:r>
      <w:r w:rsidRPr="00DB6D42">
        <w:rPr>
          <w:rFonts w:cs="Arial"/>
          <w:i/>
          <w:color w:val="262626"/>
          <w:szCs w:val="22"/>
          <w:lang w:val="en-US"/>
        </w:rPr>
        <w:t xml:space="preserve">i </w:t>
      </w:r>
      <w:r w:rsidRPr="00DB6D42">
        <w:rPr>
          <w:rFonts w:cs="Arial"/>
          <w:color w:val="262626"/>
          <w:szCs w:val="22"/>
          <w:lang w:val="en-US"/>
        </w:rPr>
        <w:t>(see acknowledgments)</w:t>
      </w:r>
    </w:p>
    <w:p w14:paraId="24F050A9" w14:textId="77777777" w:rsidR="00F66536" w:rsidRPr="00DB6D42" w:rsidRDefault="00F66536" w:rsidP="00BB5FF5">
      <w:pPr>
        <w:spacing w:before="80" w:after="80" w:line="360" w:lineRule="auto"/>
        <w:jc w:val="both"/>
        <w:rPr>
          <w:szCs w:val="22"/>
          <w:lang w:val="en-US"/>
        </w:rPr>
      </w:pPr>
    </w:p>
    <w:p w14:paraId="32533884" w14:textId="77777777" w:rsidR="009850E9" w:rsidRPr="00DB6D42" w:rsidRDefault="009850E9" w:rsidP="00BB5FF5">
      <w:pPr>
        <w:spacing w:before="80" w:after="80" w:line="360" w:lineRule="auto"/>
        <w:jc w:val="both"/>
        <w:rPr>
          <w:b/>
          <w:szCs w:val="22"/>
          <w:lang w:val="en-US"/>
        </w:rPr>
        <w:sectPr w:rsidR="009850E9" w:rsidRPr="00DB6D42" w:rsidSect="005E1C23">
          <w:headerReference w:type="even" r:id="rId10"/>
          <w:headerReference w:type="default" r:id="rId11"/>
          <w:footerReference w:type="even" r:id="rId12"/>
          <w:footerReference w:type="default" r:id="rId13"/>
          <w:headerReference w:type="first" r:id="rId14"/>
          <w:footerReference w:type="first" r:id="rId15"/>
          <w:pgSz w:w="11900" w:h="16820"/>
          <w:pgMar w:top="1440" w:right="1800" w:bottom="1440" w:left="1800" w:header="720" w:footer="720" w:gutter="0"/>
          <w:cols w:space="720"/>
          <w:noEndnote/>
        </w:sectPr>
      </w:pPr>
    </w:p>
    <w:p w14:paraId="3DABE09E" w14:textId="77777777" w:rsidR="00B32B9F" w:rsidRPr="00DB6D42" w:rsidRDefault="00B32B9F" w:rsidP="00BB5FF5">
      <w:pPr>
        <w:spacing w:before="80" w:after="80" w:line="360" w:lineRule="auto"/>
        <w:jc w:val="both"/>
        <w:rPr>
          <w:szCs w:val="22"/>
          <w:lang w:val="en-US"/>
        </w:rPr>
      </w:pPr>
      <w:r w:rsidRPr="00DB6D42">
        <w:rPr>
          <w:b/>
          <w:szCs w:val="22"/>
          <w:lang w:val="en-US"/>
        </w:rPr>
        <w:lastRenderedPageBreak/>
        <w:t>Introduction</w:t>
      </w:r>
    </w:p>
    <w:p w14:paraId="05D4DDE0" w14:textId="77777777" w:rsidR="00F35274" w:rsidRPr="00DB6D42" w:rsidRDefault="00217CA5" w:rsidP="00BB5FF5">
      <w:pPr>
        <w:spacing w:line="360" w:lineRule="auto"/>
        <w:jc w:val="both"/>
        <w:rPr>
          <w:lang w:val="en-US"/>
        </w:rPr>
      </w:pPr>
      <w:r w:rsidRPr="00DB6D42">
        <w:rPr>
          <w:lang w:val="en-US"/>
        </w:rPr>
        <w:t>Chagas disease</w:t>
      </w:r>
      <w:r w:rsidR="00B32B9F" w:rsidRPr="00DB6D42">
        <w:rPr>
          <w:lang w:val="en-US"/>
        </w:rPr>
        <w:t xml:space="preserve"> </w:t>
      </w:r>
      <w:r w:rsidR="008232E5" w:rsidRPr="00DB6D42">
        <w:rPr>
          <w:lang w:val="en-US"/>
        </w:rPr>
        <w:t xml:space="preserve">(CD) </w:t>
      </w:r>
      <w:r w:rsidR="00B32B9F" w:rsidRPr="00DB6D42">
        <w:rPr>
          <w:lang w:val="en-US"/>
        </w:rPr>
        <w:t xml:space="preserve">is a major </w:t>
      </w:r>
      <w:r w:rsidR="00BD5DBE" w:rsidRPr="00DB6D42">
        <w:rPr>
          <w:lang w:val="en-US"/>
        </w:rPr>
        <w:t xml:space="preserve">endemic </w:t>
      </w:r>
      <w:r w:rsidR="00B32B9F" w:rsidRPr="00DB6D42">
        <w:rPr>
          <w:lang w:val="en-US"/>
        </w:rPr>
        <w:t xml:space="preserve">vector-borne disease and </w:t>
      </w:r>
      <w:r w:rsidR="00BB3FF8" w:rsidRPr="00DB6D42">
        <w:rPr>
          <w:lang w:val="en-US"/>
        </w:rPr>
        <w:t xml:space="preserve">global </w:t>
      </w:r>
      <w:r w:rsidR="00B32B9F" w:rsidRPr="00DB6D42">
        <w:rPr>
          <w:lang w:val="en-US"/>
        </w:rPr>
        <w:t>public health problem,</w:t>
      </w:r>
      <w:r w:rsidR="003D412B" w:rsidRPr="00DB6D42">
        <w:rPr>
          <w:lang w:val="en-US"/>
        </w:rPr>
        <w:t xml:space="preserve"> </w:t>
      </w:r>
      <w:r w:rsidR="00B32B9F" w:rsidRPr="00DB6D42">
        <w:rPr>
          <w:lang w:val="en-US"/>
        </w:rPr>
        <w:t xml:space="preserve">with an estimated </w:t>
      </w:r>
      <w:r w:rsidR="000A2CB8" w:rsidRPr="00DB6D42">
        <w:rPr>
          <w:lang w:val="en-US"/>
        </w:rPr>
        <w:t xml:space="preserve">70 </w:t>
      </w:r>
      <w:r w:rsidR="00B32B9F" w:rsidRPr="00DB6D42">
        <w:rPr>
          <w:lang w:val="en-US"/>
        </w:rPr>
        <w:t>million people at</w:t>
      </w:r>
      <w:r w:rsidR="007C0393" w:rsidRPr="00DB6D42">
        <w:rPr>
          <w:lang w:val="en-US"/>
        </w:rPr>
        <w:t xml:space="preserve"> </w:t>
      </w:r>
      <w:r w:rsidR="00B32B9F" w:rsidRPr="00DB6D42">
        <w:rPr>
          <w:lang w:val="en-US"/>
        </w:rPr>
        <w:t>risk</w:t>
      </w:r>
      <w:r w:rsidR="00BB3FF8" w:rsidRPr="00DB6D42">
        <w:rPr>
          <w:lang w:val="en-US"/>
        </w:rPr>
        <w:t xml:space="preserve"> in Latin America</w:t>
      </w:r>
      <w:r w:rsidR="000E50F1" w:rsidRPr="00DB6D42">
        <w:rPr>
          <w:lang w:val="en-US"/>
        </w:rPr>
        <w:t xml:space="preserve"> and approximately </w:t>
      </w:r>
      <w:r w:rsidR="007D63A6" w:rsidRPr="00DB6D42">
        <w:rPr>
          <w:lang w:val="en-US"/>
        </w:rPr>
        <w:t xml:space="preserve">six </w:t>
      </w:r>
      <w:r w:rsidR="000E50F1" w:rsidRPr="00DB6D42">
        <w:rPr>
          <w:lang w:val="en-US"/>
        </w:rPr>
        <w:t>million people infected worldwide.</w:t>
      </w:r>
      <w:r w:rsidR="00C46D06" w:rsidRPr="00DB6D42">
        <w:rPr>
          <w:vertAlign w:val="superscript"/>
          <w:lang w:val="en-US"/>
        </w:rPr>
        <w:t>1</w:t>
      </w:r>
      <w:r w:rsidR="00C46D06" w:rsidRPr="00DB6D42">
        <w:rPr>
          <w:lang w:val="en-US"/>
        </w:rPr>
        <w:t xml:space="preserve"> </w:t>
      </w:r>
      <w:r w:rsidR="008232E5" w:rsidRPr="00DB6D42">
        <w:rPr>
          <w:lang w:val="en-US"/>
        </w:rPr>
        <w:t xml:space="preserve">Significant mortality and morbidity is observed in </w:t>
      </w:r>
      <w:r w:rsidR="00C66281" w:rsidRPr="00DB6D42">
        <w:rPr>
          <w:lang w:val="en-US"/>
        </w:rPr>
        <w:t>20-30%</w:t>
      </w:r>
      <w:r w:rsidR="008232E5" w:rsidRPr="00DB6D42">
        <w:rPr>
          <w:lang w:val="en-US"/>
        </w:rPr>
        <w:t xml:space="preserve"> of those </w:t>
      </w:r>
      <w:r w:rsidR="007C0393" w:rsidRPr="00DB6D42">
        <w:rPr>
          <w:lang w:val="en-US"/>
        </w:rPr>
        <w:t xml:space="preserve">chronically </w:t>
      </w:r>
      <w:r w:rsidR="008232E5" w:rsidRPr="00DB6D42">
        <w:rPr>
          <w:lang w:val="en-US"/>
        </w:rPr>
        <w:t xml:space="preserve">affected, with </w:t>
      </w:r>
      <w:r w:rsidR="00B32B9F" w:rsidRPr="00DB6D42">
        <w:rPr>
          <w:lang w:val="en-US"/>
        </w:rPr>
        <w:t>develop</w:t>
      </w:r>
      <w:r w:rsidR="008232E5" w:rsidRPr="00DB6D42">
        <w:rPr>
          <w:lang w:val="en-US"/>
        </w:rPr>
        <w:t>ment of</w:t>
      </w:r>
      <w:r w:rsidR="00B32B9F" w:rsidRPr="00DB6D42">
        <w:rPr>
          <w:rFonts w:cs="Arial"/>
          <w:szCs w:val="22"/>
          <w:lang w:val="en-US"/>
        </w:rPr>
        <w:t xml:space="preserve"> target organ</w:t>
      </w:r>
      <w:r w:rsidR="00B32B9F" w:rsidRPr="00DB6D42">
        <w:rPr>
          <w:lang w:val="en-US"/>
        </w:rPr>
        <w:t xml:space="preserve"> involvement 10 to 30 years after initial infection</w:t>
      </w:r>
      <w:r w:rsidR="008226C2" w:rsidRPr="00DB6D42">
        <w:rPr>
          <w:lang w:val="en-US"/>
        </w:rPr>
        <w:t>.</w:t>
      </w:r>
      <w:r w:rsidR="00C46D06" w:rsidRPr="00DB6D42">
        <w:rPr>
          <w:vertAlign w:val="superscript"/>
          <w:lang w:val="en-US"/>
        </w:rPr>
        <w:t>2</w:t>
      </w:r>
    </w:p>
    <w:p w14:paraId="525090FF" w14:textId="151B4448" w:rsidR="008B6967" w:rsidRPr="00DB6D42" w:rsidRDefault="00F35274" w:rsidP="00BB5FF5">
      <w:pPr>
        <w:spacing w:line="360" w:lineRule="auto"/>
        <w:jc w:val="both"/>
        <w:rPr>
          <w:lang w:val="en-US"/>
        </w:rPr>
      </w:pPr>
      <w:r w:rsidRPr="00DB6D42">
        <w:rPr>
          <w:lang w:val="en-US"/>
        </w:rPr>
        <w:t xml:space="preserve">Clinical development in </w:t>
      </w:r>
      <w:r w:rsidR="008232E5" w:rsidRPr="00DB6D42">
        <w:rPr>
          <w:lang w:val="en-US"/>
        </w:rPr>
        <w:t>CD</w:t>
      </w:r>
      <w:r w:rsidRPr="00DB6D42">
        <w:rPr>
          <w:lang w:val="en-US"/>
        </w:rPr>
        <w:t xml:space="preserve"> is fraught with difficulties relati</w:t>
      </w:r>
      <w:r w:rsidR="00B8737F" w:rsidRPr="00DB6D42">
        <w:rPr>
          <w:lang w:val="en-US"/>
        </w:rPr>
        <w:t>ng to</w:t>
      </w:r>
      <w:r w:rsidR="000A2CB8" w:rsidRPr="00DB6D42">
        <w:rPr>
          <w:lang w:val="en-US"/>
        </w:rPr>
        <w:t xml:space="preserve"> the evaluation of therapeutic response</w:t>
      </w:r>
      <w:r w:rsidR="008C7C3F" w:rsidRPr="00DB6D42">
        <w:rPr>
          <w:lang w:val="en-US"/>
        </w:rPr>
        <w:t xml:space="preserve"> </w:t>
      </w:r>
      <w:r w:rsidRPr="00DB6D42">
        <w:rPr>
          <w:lang w:val="en-US"/>
        </w:rPr>
        <w:t xml:space="preserve">and </w:t>
      </w:r>
      <w:r w:rsidR="000A2CB8" w:rsidRPr="00DB6D42">
        <w:rPr>
          <w:lang w:val="en-US"/>
        </w:rPr>
        <w:t xml:space="preserve">long </w:t>
      </w:r>
      <w:r w:rsidRPr="00DB6D42">
        <w:rPr>
          <w:lang w:val="en-US"/>
        </w:rPr>
        <w:t>delays in demonstrating clinical effects</w:t>
      </w:r>
      <w:r w:rsidR="008226C2" w:rsidRPr="00DB6D42">
        <w:rPr>
          <w:lang w:val="en-US"/>
        </w:rPr>
        <w:t>.</w:t>
      </w:r>
      <w:r w:rsidR="00E41460" w:rsidRPr="00DB6D42">
        <w:rPr>
          <w:lang w:val="en-US"/>
        </w:rPr>
        <w:fldChar w:fldCharType="begin" w:fldLock="1"/>
      </w:r>
      <w:r w:rsidR="0074261B" w:rsidRPr="00DB6D42">
        <w:rPr>
          <w:lang w:val="en-US"/>
        </w:rPr>
        <w:instrText>ADDIN CSL_CITATION { "citationItems" : [ { "id" : "ITEM-1", "itemData" : { "abstract" : "Heart transplantation (HTx) is a useful therapy for end-stage Chaga\u015b cardiomyopathy; however, Chagas reactivation remains a mayor complication. Parasitological methods offer poor diagnostic sensitivity, and use of more sensitive tools such as the Polymerase chain reaction (PCR) is usually necessary. In the present study, reactivation incidence and PCR usefulness for early reactivation diagnosis, as well as for treatment response evaluation during follow-up, were analyzed using Strout parasite detection test, in 10 of 222 consecutive HTx patients suffering Chagas cardiomyopathy. PCR strategies targeted to minicircle sequences (kDNA, detection limit 1 parasite/ 10 mL blood) and miniexon genes (SL-DNA, 200 parasite/10 mL) were performed to compare parasite burdens between samples. No patients received prophylactic antiprotozoal therapy (benznidazole). Five patients (50%) exhibited clinical reactivation within a mean period of 71.6 days; positive Strout results were observed in most cases presenting clinical manifestations. kDNA-PCR was positive 38-85 days before reactivation, whereas SLDNA-PCR became positive only 7-21 days later, revealing post-HTx parasitic load enhancement present prior to clinical reactivation development. Reactivations were successfully treated with benznidazole and generated negative PCR results. Results observed in this study indicate the value of PCR testing for an early diagnosis of Chagas reactivation as well as for monitoring treatment efficacy.", "author" : [ { "dropping-particle" : "", "family" : "Diez", "given" : "M", "non-dropping-particle" : "", "parse-names" : false, "suffix" : "" }, { "dropping-particle" : "", "family" : "Favaloro", "given" : "L", "non-dropping-particle" : "", "parse-names" : false, "suffix" : "" }, { "dropping-particle" : "", "family" : "Bertolotti", "given" : "A", "non-dropping-particle" : "", "parse-names" : false, "suffix" : "" }, { "dropping-particle" : "", "family" : "Burgos", "given" : "J M", "non-dropping-particle" : "", "parse-names" : false, "suffix" : "" }, { "dropping-particle" : "", "family" : "Vigliano", "given" : "C", "non-dropping-particle" : "", "parse-names" : false, "suffix" : "" }, { "dropping-particle" : "", "family" : "Lastra", "given" : "M P", "non-dropping-particle" : "", "parse-names" : false, "suffix" : "" }, { "dropping-particle" : "", "family" : "Levin", "given" : "M J", "non-dropping-particle" : "", "parse-names" : false, "suffix" : "" }, { "dropping-particle" : "", "family" : "Arnedo", "given" : "A", "non-dropping-particle" : "", "parse-names" : false, "suffix" : "" }, { "dropping-particle" : "", "family" : "Nagel", "given" : "C", "non-dropping-particle" : "", "parse-names" : false, "suffix" : "" }, { "dropping-particle" : "", "family" : "Schijman", "given" : "A G", "non-dropping-particle" : "", "parse-names" : false, "suffix" : "" }, { "dropping-particle" : "", "family" : "Favaloro", "given" : "R R", "non-dropping-particle" : "", "parse-names" : false, "suffix" : "" } ], "container-title" : "American journal of transplantation : official journal of the American Society of Transplantation and the American Society of Transplant Surgeons", "id" : "ITEM-1", "issued" : { "date-parts" : [ [ "2007" ] ] }, "page" : "1633-40", "title" : "Usefulness of PCR strategies for early diagnosis of Chagas' disease reactivation and treatment follow-up in heart transplantation", "type" : "article-journal", "volume" : "7" }, "uris" : [ "http://www.mendeley.com/documents/?uuid=38de9345-da70-4fb1-a65d-088b54e23f70" ] }, { "id" : "ITEM-2", "itemData" : { "DOI" : "10.1016/j.pt.2011.12.003", "ISSN" : "1471-5007", "PMID" : "22277131", "abstract" : "Parasitic neglected diseases are in dire need of new drugs either to replace old drugs rendered ineffective because of resistance development, to cover clinical needs that had never been addressed or to tackle other associated problems of existing drugs such as high cost, difficult administration, restricted coverage or toxicity. The availability of transgenic parasites expressing reporter genes facilitates the discovery of new drugs through high throughput screenings, but also by allowing rapid screening in animal models of disease. Taking advantage of these, we propose an alternative pathway of drug development for neglected diseases, going from high throughput screening directly into in vivo testing of the top ranked compounds selected by medicinal chemistry. Rapid assessment animal models allow for identification of compounds with bona fide activity in vivo early in the development chain, constituting a solid basis for further development and saving valuable time and resources.", "author" : [ { "dropping-particle" : "", "family" : "Rodriguez", "given" : "Ana", "non-dropping-particle" : "", "parse-names" : false, "suffix" : "" }, { "dropping-particle" : "", "family" : "Tarleton", "given" : "Rick L", "non-dropping-particle" : "", "parse-names" : false, "suffix" : "" } ], "container-title" : "Trends in parasitology", "id" : "ITEM-2", "issue" : "3", "issued" : { "date-parts" : [ [ "2012", "3" ] ] }, "page" : "90-2", "publisher" : "Elsevier Ltd", "title" : "Transgenic parasites accelerate drug discovery.", "type" : "article-journal", "volume" : "28" }, "uris" : [ "http://www.mendeley.com/documents/?uuid=1a1456a7-c202-48fe-8487-bb18c83e668d" ] } ], "mendeley" : { "formattedCitation" : "&lt;sup&gt;5,6&lt;/sup&gt;", "plainTextFormattedCitation" : "5,6", "previouslyFormattedCitation" : "&lt;sup&gt;5,6&lt;/sup&gt;" }, "properties" : { "noteIndex" : 0 }, "schema" : "https://github.com/citation-style-language/schema/raw/master/csl-citation.json" }</w:instrText>
      </w:r>
      <w:r w:rsidR="00E41460" w:rsidRPr="00DB6D42">
        <w:rPr>
          <w:lang w:val="en-US"/>
        </w:rPr>
        <w:fldChar w:fldCharType="separate"/>
      </w:r>
      <w:r w:rsidR="00C46D06" w:rsidRPr="00DB6D42">
        <w:rPr>
          <w:noProof/>
          <w:vertAlign w:val="superscript"/>
          <w:lang w:val="en-US"/>
        </w:rPr>
        <w:t>3</w:t>
      </w:r>
      <w:r w:rsidR="00E41460" w:rsidRPr="00DB6D42">
        <w:rPr>
          <w:lang w:val="en-US"/>
        </w:rPr>
        <w:fldChar w:fldCharType="end"/>
      </w:r>
      <w:r w:rsidR="008232E5" w:rsidRPr="00DB6D42">
        <w:rPr>
          <w:lang w:val="en-US"/>
        </w:rPr>
        <w:t xml:space="preserve"> </w:t>
      </w:r>
      <w:r w:rsidR="00E61A34" w:rsidRPr="00DB6D42">
        <w:rPr>
          <w:lang w:val="en-US"/>
        </w:rPr>
        <w:t>T</w:t>
      </w:r>
      <w:r w:rsidR="00C87293" w:rsidRPr="00DB6D42">
        <w:rPr>
          <w:lang w:val="en-US"/>
        </w:rPr>
        <w:t>he</w:t>
      </w:r>
      <w:r w:rsidR="00B16016" w:rsidRPr="00DB6D42">
        <w:rPr>
          <w:lang w:val="en-US"/>
        </w:rPr>
        <w:t xml:space="preserve"> </w:t>
      </w:r>
      <w:r w:rsidR="00AC4E9A" w:rsidRPr="00DB6D42">
        <w:rPr>
          <w:lang w:val="en-US"/>
        </w:rPr>
        <w:t>pharmacokinetic/</w:t>
      </w:r>
      <w:r w:rsidR="004A1571" w:rsidRPr="00DB6D42">
        <w:rPr>
          <w:lang w:val="en-US"/>
        </w:rPr>
        <w:t>pharmacodynamics</w:t>
      </w:r>
      <w:r w:rsidR="00AC4E9A" w:rsidRPr="00DB6D42">
        <w:rPr>
          <w:lang w:val="en-US"/>
        </w:rPr>
        <w:t xml:space="preserve"> (</w:t>
      </w:r>
      <w:r w:rsidR="00BB6BD6" w:rsidRPr="00DB6D42">
        <w:rPr>
          <w:lang w:val="en-US"/>
        </w:rPr>
        <w:t>PK/PD</w:t>
      </w:r>
      <w:r w:rsidR="00AC4E9A" w:rsidRPr="00DB6D42">
        <w:rPr>
          <w:lang w:val="en-US"/>
        </w:rPr>
        <w:t>)</w:t>
      </w:r>
      <w:r w:rsidR="00BB6BD6" w:rsidRPr="00DB6D42">
        <w:rPr>
          <w:lang w:val="en-US"/>
        </w:rPr>
        <w:t xml:space="preserve"> relationship</w:t>
      </w:r>
      <w:r w:rsidR="00E72E10" w:rsidRPr="00DB6D42">
        <w:rPr>
          <w:lang w:val="en-US"/>
        </w:rPr>
        <w:t>s</w:t>
      </w:r>
      <w:r w:rsidR="00BB6BD6" w:rsidRPr="00DB6D42">
        <w:rPr>
          <w:lang w:val="en-US"/>
        </w:rPr>
        <w:t xml:space="preserve"> </w:t>
      </w:r>
      <w:r w:rsidR="00B16016" w:rsidRPr="00DB6D42">
        <w:rPr>
          <w:lang w:val="en-US"/>
        </w:rPr>
        <w:t xml:space="preserve">of treatments </w:t>
      </w:r>
      <w:r w:rsidR="00BB6BD6" w:rsidRPr="00DB6D42">
        <w:rPr>
          <w:lang w:val="en-US"/>
        </w:rPr>
        <w:t xml:space="preserve">for </w:t>
      </w:r>
      <w:r w:rsidR="008232E5" w:rsidRPr="00DB6D42">
        <w:rPr>
          <w:lang w:val="en-US"/>
        </w:rPr>
        <w:t>CD</w:t>
      </w:r>
      <w:r w:rsidR="00B16016" w:rsidRPr="00DB6D42">
        <w:rPr>
          <w:lang w:val="en-US"/>
        </w:rPr>
        <w:t xml:space="preserve"> </w:t>
      </w:r>
      <w:r w:rsidR="00E72E10" w:rsidRPr="00DB6D42">
        <w:rPr>
          <w:lang w:val="en-US"/>
        </w:rPr>
        <w:t xml:space="preserve">are </w:t>
      </w:r>
      <w:r w:rsidR="00321BC8" w:rsidRPr="00DB6D42">
        <w:rPr>
          <w:lang w:val="en-US"/>
        </w:rPr>
        <w:t xml:space="preserve">not fully </w:t>
      </w:r>
      <w:r w:rsidR="00D32E97" w:rsidRPr="00DB6D42">
        <w:rPr>
          <w:lang w:val="en-US"/>
        </w:rPr>
        <w:t>u</w:t>
      </w:r>
      <w:r w:rsidR="00321BC8" w:rsidRPr="00DB6D42">
        <w:rPr>
          <w:lang w:val="en-US"/>
        </w:rPr>
        <w:t>nderstood</w:t>
      </w:r>
      <w:r w:rsidR="000760CC" w:rsidRPr="00DB6D42">
        <w:rPr>
          <w:lang w:val="en-US"/>
        </w:rPr>
        <w:t>,</w:t>
      </w:r>
      <w:r w:rsidR="00C46D06" w:rsidRPr="00DB6D42">
        <w:rPr>
          <w:vertAlign w:val="superscript"/>
          <w:lang w:val="en-US"/>
        </w:rPr>
        <w:t>4</w:t>
      </w:r>
      <w:r w:rsidR="00C46D06" w:rsidRPr="00DB6D42">
        <w:rPr>
          <w:lang w:val="en-US"/>
        </w:rPr>
        <w:t xml:space="preserve"> </w:t>
      </w:r>
      <w:r w:rsidR="002D5C27" w:rsidRPr="00DB6D42">
        <w:rPr>
          <w:lang w:val="en-US"/>
        </w:rPr>
        <w:t>an</w:t>
      </w:r>
      <w:r w:rsidR="00E61A34" w:rsidRPr="00DB6D42">
        <w:rPr>
          <w:lang w:val="en-US"/>
        </w:rPr>
        <w:t>d</w:t>
      </w:r>
      <w:r w:rsidR="00527F9A" w:rsidRPr="00DB6D42">
        <w:rPr>
          <w:lang w:val="en-US"/>
        </w:rPr>
        <w:t xml:space="preserve"> </w:t>
      </w:r>
      <w:r w:rsidR="005A5BCF" w:rsidRPr="00DB6D42">
        <w:rPr>
          <w:lang w:val="en-US"/>
        </w:rPr>
        <w:t>t</w:t>
      </w:r>
      <w:r w:rsidR="00B32B9F" w:rsidRPr="00DB6D42">
        <w:rPr>
          <w:lang w:val="en-US"/>
        </w:rPr>
        <w:t xml:space="preserve">o date, no markers can </w:t>
      </w:r>
      <w:r w:rsidR="004F4D48" w:rsidRPr="00DB6D42">
        <w:rPr>
          <w:lang w:val="en-US"/>
        </w:rPr>
        <w:t>adequately</w:t>
      </w:r>
      <w:r w:rsidR="00B16016" w:rsidRPr="00DB6D42">
        <w:rPr>
          <w:lang w:val="en-US"/>
        </w:rPr>
        <w:t xml:space="preserve"> </w:t>
      </w:r>
      <w:r w:rsidR="00B32B9F" w:rsidRPr="00DB6D42">
        <w:rPr>
          <w:lang w:val="en-US"/>
        </w:rPr>
        <w:t xml:space="preserve">predict patients at risk of progression to chronic disease. During the chronic phase, diagnosis depends on </w:t>
      </w:r>
      <w:r w:rsidR="00987841" w:rsidRPr="00DB6D42">
        <w:rPr>
          <w:lang w:val="en-US"/>
        </w:rPr>
        <w:t>serology</w:t>
      </w:r>
      <w:r w:rsidR="00D260B3" w:rsidRPr="00DB6D42">
        <w:rPr>
          <w:lang w:val="en-US"/>
        </w:rPr>
        <w:t xml:space="preserve">, </w:t>
      </w:r>
      <w:r w:rsidR="00B32B9F" w:rsidRPr="00DB6D42">
        <w:rPr>
          <w:lang w:val="en-US"/>
        </w:rPr>
        <w:t>or polymerase chain reactions (PCRs)</w:t>
      </w:r>
      <w:r w:rsidR="006D5B17" w:rsidRPr="00DB6D42">
        <w:rPr>
          <w:lang w:val="en-US"/>
        </w:rPr>
        <w:t xml:space="preserve">, with varying </w:t>
      </w:r>
      <w:r w:rsidR="00527F9A" w:rsidRPr="00DB6D42">
        <w:rPr>
          <w:lang w:val="en-US"/>
        </w:rPr>
        <w:t>degrees of sensitivity</w:t>
      </w:r>
      <w:r w:rsidR="00D32E97" w:rsidRPr="00DB6D42">
        <w:rPr>
          <w:lang w:val="en-US"/>
        </w:rPr>
        <w:t>.</w:t>
      </w:r>
      <w:r w:rsidR="00681C64" w:rsidRPr="00DB6D42">
        <w:rPr>
          <w:vertAlign w:val="superscript"/>
          <w:lang w:val="en-US"/>
        </w:rPr>
        <w:t>2,3,</w:t>
      </w:r>
      <w:r w:rsidR="00C46D06" w:rsidRPr="00DB6D42">
        <w:rPr>
          <w:vertAlign w:val="superscript"/>
          <w:lang w:val="en-US"/>
        </w:rPr>
        <w:t>5</w:t>
      </w:r>
      <w:r w:rsidR="005C0FC9" w:rsidRPr="00DB6D42">
        <w:rPr>
          <w:lang w:val="en-US"/>
        </w:rPr>
        <w:t xml:space="preserve"> </w:t>
      </w:r>
      <w:r w:rsidRPr="00DB6D42">
        <w:rPr>
          <w:lang w:val="en-US"/>
        </w:rPr>
        <w:t xml:space="preserve">Despite </w:t>
      </w:r>
      <w:r w:rsidR="00114DBA" w:rsidRPr="00DB6D42">
        <w:rPr>
          <w:lang w:val="en-US"/>
        </w:rPr>
        <w:t xml:space="preserve">the disease </w:t>
      </w:r>
      <w:r w:rsidRPr="00DB6D42">
        <w:rPr>
          <w:lang w:val="en-US"/>
        </w:rPr>
        <w:t>being described over a century ago</w:t>
      </w:r>
      <w:r w:rsidR="00D32E97" w:rsidRPr="00DB6D42">
        <w:rPr>
          <w:lang w:val="en-US"/>
        </w:rPr>
        <w:t>,</w:t>
      </w:r>
      <w:r w:rsidR="00681C64" w:rsidRPr="00DB6D42">
        <w:rPr>
          <w:vertAlign w:val="superscript"/>
          <w:lang w:val="en-US"/>
        </w:rPr>
        <w:t>6</w:t>
      </w:r>
      <w:r w:rsidR="00681C64" w:rsidRPr="00DB6D42">
        <w:rPr>
          <w:lang w:val="en-US"/>
        </w:rPr>
        <w:t xml:space="preserve"> </w:t>
      </w:r>
      <w:r w:rsidR="00163F82" w:rsidRPr="00DB6D42">
        <w:rPr>
          <w:lang w:val="en-US"/>
        </w:rPr>
        <w:t xml:space="preserve">only </w:t>
      </w:r>
      <w:r w:rsidR="00B32B9F" w:rsidRPr="00DB6D42">
        <w:rPr>
          <w:lang w:val="en-US"/>
        </w:rPr>
        <w:t xml:space="preserve">two drugs </w:t>
      </w:r>
      <w:r w:rsidR="00157AE6" w:rsidRPr="00DB6D42">
        <w:rPr>
          <w:lang w:val="en-US"/>
        </w:rPr>
        <w:t xml:space="preserve">are </w:t>
      </w:r>
      <w:r w:rsidR="00B32B9F" w:rsidRPr="00DB6D42">
        <w:rPr>
          <w:lang w:val="en-US"/>
        </w:rPr>
        <w:t xml:space="preserve">available for </w:t>
      </w:r>
      <w:r w:rsidR="008232E5" w:rsidRPr="00DB6D42">
        <w:rPr>
          <w:lang w:val="en-US"/>
        </w:rPr>
        <w:t>CD</w:t>
      </w:r>
      <w:r w:rsidR="00B32B9F" w:rsidRPr="00DB6D42">
        <w:rPr>
          <w:lang w:val="en-US"/>
        </w:rPr>
        <w:t xml:space="preserve"> treatment, benznidazole (BZN) and nifurtimox (NFX),</w:t>
      </w:r>
      <w:r w:rsidR="000E50F1" w:rsidRPr="00DB6D42">
        <w:rPr>
          <w:lang w:val="en-US"/>
        </w:rPr>
        <w:t xml:space="preserve"> </w:t>
      </w:r>
      <w:r w:rsidR="00157AE6" w:rsidRPr="00DB6D42">
        <w:rPr>
          <w:lang w:val="en-US"/>
        </w:rPr>
        <w:t xml:space="preserve">and </w:t>
      </w:r>
      <w:r w:rsidR="00D21359" w:rsidRPr="00DB6D42">
        <w:rPr>
          <w:lang w:val="en-US"/>
        </w:rPr>
        <w:t xml:space="preserve">there is </w:t>
      </w:r>
      <w:r w:rsidR="00163A07" w:rsidRPr="00DB6D42">
        <w:rPr>
          <w:lang w:val="en-US"/>
        </w:rPr>
        <w:t xml:space="preserve">very </w:t>
      </w:r>
      <w:r w:rsidR="00114DBA" w:rsidRPr="00DB6D42">
        <w:rPr>
          <w:lang w:val="en-US"/>
        </w:rPr>
        <w:t xml:space="preserve">limited </w:t>
      </w:r>
      <w:r w:rsidR="00D85E51" w:rsidRPr="00DB6D42">
        <w:rPr>
          <w:lang w:val="en-US"/>
        </w:rPr>
        <w:t xml:space="preserve">data </w:t>
      </w:r>
      <w:r w:rsidR="00B16016" w:rsidRPr="00DB6D42">
        <w:rPr>
          <w:lang w:val="en-US"/>
        </w:rPr>
        <w:t>from ra</w:t>
      </w:r>
      <w:r w:rsidR="000A2CB8" w:rsidRPr="00DB6D42">
        <w:rPr>
          <w:lang w:val="en-US"/>
        </w:rPr>
        <w:t>n</w:t>
      </w:r>
      <w:r w:rsidR="00B16016" w:rsidRPr="00DB6D42">
        <w:rPr>
          <w:lang w:val="en-US"/>
        </w:rPr>
        <w:t>domi</w:t>
      </w:r>
      <w:r w:rsidR="000A2CB8" w:rsidRPr="00DB6D42">
        <w:rPr>
          <w:lang w:val="en-US"/>
        </w:rPr>
        <w:t>z</w:t>
      </w:r>
      <w:r w:rsidR="00B16016" w:rsidRPr="00DB6D42">
        <w:rPr>
          <w:lang w:val="en-US"/>
        </w:rPr>
        <w:t xml:space="preserve">ed and controlled </w:t>
      </w:r>
      <w:r w:rsidR="00966E90" w:rsidRPr="00DB6D42">
        <w:rPr>
          <w:lang w:val="en-US"/>
        </w:rPr>
        <w:t>studies</w:t>
      </w:r>
      <w:r w:rsidR="00B16016" w:rsidRPr="00DB6D42">
        <w:rPr>
          <w:lang w:val="en-US"/>
        </w:rPr>
        <w:t xml:space="preserve"> </w:t>
      </w:r>
      <w:r w:rsidR="00D85E51" w:rsidRPr="00DB6D42">
        <w:rPr>
          <w:lang w:val="en-US"/>
        </w:rPr>
        <w:t>on their use</w:t>
      </w:r>
      <w:r w:rsidR="00B32B9F" w:rsidRPr="00DB6D42">
        <w:rPr>
          <w:lang w:val="en-US"/>
        </w:rPr>
        <w:t xml:space="preserve"> in adults with chronic indeterminate </w:t>
      </w:r>
      <w:r w:rsidR="000E50F1" w:rsidRPr="00DB6D42">
        <w:rPr>
          <w:lang w:val="en-US"/>
        </w:rPr>
        <w:t>disease</w:t>
      </w:r>
      <w:r w:rsidR="00B32B9F" w:rsidRPr="00DB6D42">
        <w:rPr>
          <w:lang w:val="en-US"/>
        </w:rPr>
        <w:t xml:space="preserve">. These patients </w:t>
      </w:r>
      <w:r w:rsidR="00026534" w:rsidRPr="00DB6D42">
        <w:rPr>
          <w:lang w:val="en-US"/>
        </w:rPr>
        <w:t xml:space="preserve">are believed to </w:t>
      </w:r>
      <w:r w:rsidR="00B32B9F" w:rsidRPr="00DB6D42">
        <w:rPr>
          <w:lang w:val="en-US"/>
        </w:rPr>
        <w:t>require prolonged treatment</w:t>
      </w:r>
      <w:r w:rsidR="00B16016" w:rsidRPr="00DB6D42">
        <w:rPr>
          <w:lang w:val="en-US"/>
        </w:rPr>
        <w:t xml:space="preserve"> that </w:t>
      </w:r>
      <w:r w:rsidR="00D21359" w:rsidRPr="00DB6D42">
        <w:rPr>
          <w:lang w:val="en-US"/>
        </w:rPr>
        <w:t xml:space="preserve">is </w:t>
      </w:r>
      <w:r w:rsidR="00B32B9F" w:rsidRPr="00DB6D42">
        <w:rPr>
          <w:lang w:val="en-US"/>
        </w:rPr>
        <w:t xml:space="preserve">often associated with </w:t>
      </w:r>
      <w:r w:rsidR="00851829" w:rsidRPr="00DB6D42">
        <w:rPr>
          <w:lang w:val="en-US"/>
        </w:rPr>
        <w:t>safety concerns</w:t>
      </w:r>
      <w:r w:rsidR="00D32E97" w:rsidRPr="00DB6D42">
        <w:rPr>
          <w:lang w:val="en-US"/>
        </w:rPr>
        <w:t>.</w:t>
      </w:r>
      <w:r w:rsidR="00681C64" w:rsidRPr="00DB6D42">
        <w:rPr>
          <w:vertAlign w:val="superscript"/>
          <w:lang w:val="en-US"/>
        </w:rPr>
        <w:t>7,</w:t>
      </w:r>
      <w:r w:rsidR="00C46D06" w:rsidRPr="00DB6D42">
        <w:rPr>
          <w:vertAlign w:val="superscript"/>
          <w:lang w:val="en-US"/>
        </w:rPr>
        <w:t>8</w:t>
      </w:r>
      <w:r w:rsidR="004A1571" w:rsidRPr="00DB6D42">
        <w:rPr>
          <w:vertAlign w:val="superscript"/>
          <w:lang w:val="en-US"/>
        </w:rPr>
        <w:t xml:space="preserve"> </w:t>
      </w:r>
      <w:r w:rsidR="00B32B9F" w:rsidRPr="00DB6D42">
        <w:rPr>
          <w:lang w:val="en-US"/>
        </w:rPr>
        <w:t xml:space="preserve">There is an urgent need to develop alternative treatments in order to improve disease </w:t>
      </w:r>
      <w:r w:rsidR="004709EC" w:rsidRPr="00DB6D42">
        <w:rPr>
          <w:lang w:val="en-US"/>
        </w:rPr>
        <w:t>morbidity</w:t>
      </w:r>
      <w:r w:rsidR="00B32B9F" w:rsidRPr="00DB6D42">
        <w:rPr>
          <w:lang w:val="en-US"/>
        </w:rPr>
        <w:t>.</w:t>
      </w:r>
      <w:r w:rsidR="00C67BB1" w:rsidRPr="00DB6D42">
        <w:rPr>
          <w:lang w:val="en-US"/>
        </w:rPr>
        <w:t xml:space="preserve"> The generation of </w:t>
      </w:r>
      <w:r w:rsidR="002D5C27" w:rsidRPr="00DB6D42">
        <w:rPr>
          <w:lang w:val="en-US"/>
        </w:rPr>
        <w:t>data</w:t>
      </w:r>
      <w:r w:rsidR="00C67BB1" w:rsidRPr="00DB6D42">
        <w:rPr>
          <w:lang w:val="en-US"/>
        </w:rPr>
        <w:t xml:space="preserve"> that would </w:t>
      </w:r>
      <w:r w:rsidR="00DB5479" w:rsidRPr="00DB6D42">
        <w:rPr>
          <w:lang w:val="en-US"/>
        </w:rPr>
        <w:t xml:space="preserve">help to </w:t>
      </w:r>
      <w:r w:rsidR="00C67BB1" w:rsidRPr="00DB6D42">
        <w:rPr>
          <w:lang w:val="en-US"/>
        </w:rPr>
        <w:t xml:space="preserve">fill existing </w:t>
      </w:r>
      <w:r w:rsidR="00B16016" w:rsidRPr="00DB6D42">
        <w:rPr>
          <w:lang w:val="en-US"/>
        </w:rPr>
        <w:t xml:space="preserve">scientific </w:t>
      </w:r>
      <w:r w:rsidR="00C67BB1" w:rsidRPr="00DB6D42">
        <w:rPr>
          <w:lang w:val="en-US"/>
        </w:rPr>
        <w:t>gaps and inform future drug development is paramount.</w:t>
      </w:r>
    </w:p>
    <w:p w14:paraId="77D7706F" w14:textId="71E8D23B" w:rsidR="00B32B9F" w:rsidRPr="00DB6D42" w:rsidRDefault="00B32B9F" w:rsidP="00BB5FF5">
      <w:pPr>
        <w:spacing w:line="360" w:lineRule="auto"/>
        <w:jc w:val="both"/>
        <w:rPr>
          <w:lang w:val="en-US"/>
        </w:rPr>
      </w:pPr>
      <w:r w:rsidRPr="00DB6D42">
        <w:rPr>
          <w:lang w:val="en-US"/>
        </w:rPr>
        <w:t xml:space="preserve">Ravuconazole </w:t>
      </w:r>
      <w:r w:rsidR="005A5BCF" w:rsidRPr="00DB6D42">
        <w:rPr>
          <w:lang w:val="en-US"/>
        </w:rPr>
        <w:t xml:space="preserve">(RAV) is an ergosterol biosynthesis inhibitor with </w:t>
      </w:r>
      <w:r w:rsidRPr="00DB6D42">
        <w:rPr>
          <w:lang w:val="en-US"/>
        </w:rPr>
        <w:t xml:space="preserve">potent </w:t>
      </w:r>
      <w:r w:rsidRPr="00DB6D42">
        <w:rPr>
          <w:i/>
          <w:lang w:val="en-US"/>
        </w:rPr>
        <w:t>in vitro</w:t>
      </w:r>
      <w:r w:rsidRPr="00DB6D42">
        <w:rPr>
          <w:lang w:val="en-US"/>
        </w:rPr>
        <w:t xml:space="preserve"> and </w:t>
      </w:r>
      <w:r w:rsidRPr="00DB6D42">
        <w:rPr>
          <w:i/>
          <w:lang w:val="en-US"/>
        </w:rPr>
        <w:t>in vivo</w:t>
      </w:r>
      <w:r w:rsidRPr="00DB6D42">
        <w:rPr>
          <w:lang w:val="en-US"/>
        </w:rPr>
        <w:t xml:space="preserve"> activities </w:t>
      </w:r>
      <w:r w:rsidR="005A5BCF" w:rsidRPr="00DB6D42">
        <w:rPr>
          <w:lang w:val="en-US"/>
        </w:rPr>
        <w:t xml:space="preserve">against CD </w:t>
      </w:r>
      <w:r w:rsidRPr="00DB6D42">
        <w:rPr>
          <w:lang w:val="en-US"/>
        </w:rPr>
        <w:t>in animal models</w:t>
      </w:r>
      <w:r w:rsidR="00E3505B" w:rsidRPr="00DB6D42">
        <w:rPr>
          <w:lang w:val="en-US"/>
        </w:rPr>
        <w:t>.</w:t>
      </w:r>
      <w:r w:rsidR="00E41460" w:rsidRPr="00DB6D42">
        <w:rPr>
          <w:lang w:val="en-US"/>
        </w:rPr>
        <w:fldChar w:fldCharType="begin" w:fldLock="1"/>
      </w:r>
      <w:r w:rsidR="0074261B" w:rsidRPr="00DB6D42">
        <w:rPr>
          <w:lang w:val="en-US"/>
        </w:rPr>
        <w:instrText>ADDIN CSL_CITATION { "citationItems" : [ { "id" : "ITEM-1", "itemData" : { "DOI" : "10.1073/pnas.2535442100\n2535442100 [pii]", "ISBN" : "0027-8424 (Print)", "PMID" : "14657358", "abstract" : "Chronic infection with the protozoan parasite Trypanosoma cruzi is a major cause of morbidity and mortality in Latin America. Drug treatments for the associated illness, Chagas disease, are toxic and frequently unsuccessful. In a screening effort against the drug target protein farnesyltransferase, we identified a series of disubstituted imidazoles with highly potent anti-T. cruzi activity that apparently acted through a mechanism independent of protein farnesylation. Metabolic labeling studies of T. cruzi suggested that sterol biosynthesis was inhibited. Combined GC/MS analysis confirmed depletion of cellular sterols and suggested that the site of action was sterol 14-demethylase, a cytochrome P450 enzyme. Spectral studies with recombinant T. cruzi sterol 14-demethylase demonstrated that the compounds bind directly to this enzyme. Two of the compounds were well absorbed when given orally to mice, gave sustained plasma levels, and were well tolerated. The compounds were administered orally to mice with acute T. cruzi infection and caused dramatic decrease in parasitemia and led to 100% survival. These disubstituted imidazole compounds can be prepared by a relatively short synthetic route and represent a structural class with potent anti-T. cruzi activity.", "author" : [ { "dropping-particle" : "", "family" : "Buckner", "given" : "F", "non-dropping-particle" : "", "parse-names" : false, "suffix" : "" }, { "dropping-particle" : "", "family" : "Yokoyama", "given" : "K", "non-dropping-particle" : "", "parse-names" : false, "suffix" : "" }, { "dropping-particle" : "", "family" : "Lockman", "given" : "J", "non-dropping-particle" : "", "parse-names" : false, "suffix" : "" }, { "dropping-particle" : "", "family" : "Aikenhead", "given" : "K", "non-dropping-particle" : "", "parse-names" : false, "suffix" : "" }, { "dropping-particle" : "", "family" : "Ohkanda", "given" : "J", "non-dropping-particle" : "", "parse-names" : false, "suffix" : "" }, { "dropping-particle" : "", "family" : "Sadilek", "given" : "M", "non-dropping-particle" : "", "parse-names" : false, "suffix" : "" }, { "dropping-particle" : "", "family" : "Sebti", "given" : "S", "non-dropping-particle" : "", "parse-names" : false, "suffix" : "" }, { "dropping-particle" : "", "family" : "Voorhis", "given" : "W", "non-dropping-particle" : "Van", "parse-names" : false, "suffix" : "" }, { "dropping-particle" : "", "family" : "Hamilton", "given" : "A", "non-dropping-particle" : "", "parse-names" : false, "suffix" : "" }, { "dropping-particle" : "", "family" : "Gelb", "given" : "M H", "non-dropping-particle" : "", "parse-names" : false, "suffix" : "" } ], "container-title" : "Proc Natl Acad Sci U S A", "edition" : "2003/12/06", "id" : "ITEM-1", "issue" : "25", "issued" : { "date-parts" : [ [ "2003" ] ] }, "language" : "eng", "page" : "15149-15153", "title" : "A class of sterol 14-demethylase inhibitors as anti-Trypanosoma cruzi agents", "type" : "article-journal", "volume" : "100" }, "uris" : [ "http://www.mendeley.com/documents/?uuid=6ec5c7e7-a869-426c-9a36-0b0f19d2fdde" ] }, { "id" : "ITEM-2", "itemData" : { "ISBN" : "0065-2598 (Print)", "PMID" : "18365659", "abstract" : "Chagas disease is caused by infection with the protozoan pathogen, Trypanosoma cruzi. The only approved therapeutics for treating Chagas disease are two nitroheterocyclic compounds (benznidazole and nifurtimox) that are suboptimal due to poor curative activity for chronic Chagas disease and high rates of adverse drug reactions. Sterol 14-demethylase inhibitors include azole antifungal drugs such as ketoconazole, fluconazole, itraconazole, and others. The first reports of potent activity of azole antifungal drugs against Trypanosoma cruzi came out about 25 years ago. Since then, a sizeable literature has accumulated on this topic. Newer triazole compounds such as posaconazole and D0870 have been shown to be effective at curing mice with chronic Trypanosoma cruzi infection. Small clinical studies with-ketoconazole or itraconazole in humans with chronic Chagas disease have not demonstrated significant curative activity. However, there is good reason for optimism that newer compounds with greater potency and improved pharmacokinetic properties might be more efficacious. Data have been published demonstrating synergistic activity of azole drugs with various other compounds, indicating that combination chemotherapy may be an effective strategy as this field moves ahead. In light of the near absence of adequate therapeutics for curing patients with chronic Chagas disease, additional effort to develop better drugs needs to be a priority.", "author" : [ { "dropping-particle" : "", "family" : "Buckner", "given" : "F S", "non-dropping-particle" : "", "parse-names" : false, "suffix" : "" } ], "container-title" : "Adv Exp Med Biol", "edition" : "2008/03/28", "id" : "ITEM-2", "issued" : { "date-parts" : [ [ "2008" ] ] }, "language" : "eng", "page" : "61-80", "title" : "Sterol 14-demethylase inhibitors for Trypanosoma cruzi infections", "type" : "article-journal", "volume" : "625" }, "uris" : [ "http://www.mendeley.com/documents/?uuid=2b0efb94-91f8-4ebc-84f2-1408ef594f88" ] }, { "id" : "ITEM-3", "itemData" : { "DOI" : "10.1128/AAC.01742-09", "ISSN" : "1098-6596", "PMID" : "20404124", "abstract" : "In this work, we investigated the in vivo activity of ravuconazole against the Y and Berenice-78 Trypanosoma cruzi strains using acutely infected dogs as hosts. Ravuconazole was well tolerated, as no significant side effects were observed during the treatment using 6.0 mg/kg twice a day (12 mg/kg/day) for up to 90 days. In all treated animals, parasitemia was permanently suppressed by the first day of treatment, independently of the parasite strain. Cultures of blood obtained posttreatment were negative for 90% of the animals, confirming that the drug induced a marked reduction in the parasite load. The results of PCR tests for T. cruzi in blood performed 1 month posttreatment were consistently negative for three of five and two of five animals infected with the Y and Berenice-78 strains, respectively. All ravuconazole-treated dogs consistently had negative serological test results during and until 30 days after treatment, regardless of the therapeutic scheme used. However, after the end of treatment, an increase in specific antibody levels was observed in all treated animals, although the antibody levels were always significantly lower than those of the nontreated control dogs. Despite being unable to induce a parasitological cure, ravuconazole treatment led to significant reductions in the levels of gamma interferon expression and lesions in cardiac tissues in animals infected with the Y strain, while the level of interleukin-10 mRNA expression increased. We conclude that ravuconazole has potent suppressive but not curative activity in the canine model of acute Chagas' disease, probably due to its unfavorable pharmacokinetic properties (half-life, 8.8 h). The longer half-life of ravuconazole in humans (4 to 8 days) makes it a promising drug for assessment for use as chemotherapy in human Chagas' disease.", "author" : [ { "dropping-particle" : "", "family" : "Diniz", "given" : "L\u00edvia De Figueiredo", "non-dropping-particle" : "", "parse-names" : false, "suffix" : "" }, { "dropping-particle" : "", "family" : "Caldas", "given" : "Ivo Santana", "non-dropping-particle" : "", "parse-names" : false, "suffix" : "" }, { "dropping-particle" : "", "family" : "Guedes", "given" : "Paulo Marcos Da Matta", "non-dropping-particle" : "", "parse-names" : false, "suffix" : "" }, { "dropping-particle" : "", "family" : "Crepalde", "given" : "Geovam", "non-dropping-particle" : "", "parse-names" : false, "suffix" : "" }, { "dropping-particle" : "", "family" : "Lana", "given" : "Marta", "non-dropping-particle" : "de", "parse-names" : false, "suffix" : "" }, { "dropping-particle" : "", "family" : "Carneiro", "given" : "Cl\u00e1udia Martins", "non-dropping-particle" : "", "parse-names" : false, "suffix" : "" }, { "dropping-particle" : "", "family" : "Talvani", "given" : "Andr\u00e9", "non-dropping-particle" : "", "parse-names" : false, "suffix" : "" }, { "dropping-particle" : "", "family" : "Urbina", "given" : "Julio Alberto", "non-dropping-particle" : "", "parse-names" : false, "suffix" : "" }, { "dropping-particle" : "", "family" : "Bahia", "given" : "Maria Terezinha", "non-dropping-particle" : "", "parse-names" : false, "suffix" : "" } ], "container-title" : "Antimicrobial agents and chemotherapy", "id" : "ITEM-3", "issue" : "7", "issued" : { "date-parts" : [ [ "2010", "7" ] ] }, "page" : "2979-86", "title" : "Effects of ravuconazole treatment on parasite load and immune response in dogs experimentally infected with Trypanosoma cruzi.", "type" : "article-journal", "volume" : "54" }, "uris" : [ "http://www.mendeley.com/documents/?uuid=ec8775e8-51e4-4b3f-8799-56cc603daa79" ] }, { "id" : "ITEM-4", "itemData" : { "ISBN" : "0951-7375 (Print)", "PMID" : "11964893", "abstract" : "The current situation regarding specific chemotherapy for Chagas disease (American trypanosomiasis), and new developments in this field, are reviewed. Despite previous controversy on the autoimmune origin of Chagas disease pathology, available knowledge supports the notion that this condition should be treated as a parasitic, not an autoimmune, disease. Currently available drugs (nitrofurans and nitroimidazoles) are active in acute or short-term chronic infections, but have very low antiparasitic activity against the prevalent chronic form of the disease, and toxic side-effects are frequently encountered. The nitroimidazole benznidazole has also shown significant activity in the treatment of reactivated Trypanosoma cruzi infections in patients with acquired immune deficiency syndrome and in other immunosuppressed patients with underlying chronic Chagas disease. Although the etiological agent, T. (Schizotrypanum) cruzi, requires specific endogenous sterols for cell viability and proliferation, the currently available antifungal sterol biosynthesis inhibitors are not powerful enough to induce parasitological cures of human or experimental infections. However, new triazole antifungal compounds, which are potent inhibitors of the sterol C14alpha demethylase of the parasite and have special pharmacokinetic properties, are capable of inducing parasitological cures in murine models of both acute and chronic Chagas disease. They are currently the most advanced candidates for clinical trials in patients with Chagas disease. Other potential chemotherapeutic agents against T. cruzi currently in development include antiproliferative lysophospholipid analogs (already in clinical trials as the first oral treatment for visceral leishmaniasis), cysteine proteinase (cruzipain) inhibitors, and compounds that interfere with purine salvage and inositol metabolism.", "author" : [ { "dropping-particle" : "", "family" : "Urbina", "given" : "J A", "non-dropping-particle" : "", "parse-names" : false, "suffix" : "" } ], "container-title" : "Curr Opin Infect Dis", "edition" : "2002/04/20", "id" : "ITEM-4", "issue" : "6", "issued" : { "date-parts" : [ [ "2001" ] ] }, "language" : "eng", "page" : "733-741", "title" : "Specific treatment of Chagas disease: current status and new developments", "type" : "article-journal", "volume" : "14" }, "uris" : [ "http://www.mendeley.com/documents/?uuid=740a7fec-2706-4a85-8a85-b0d8d8532a59" ] }, { "id" : "ITEM-5", "itemData" : { "ISBN" : "1381-6128 (Print)", "PMID" : "11860367", "abstract" : "In this article we review the current status of chemotherapeutic approaches for the specific treatment of Chagas disease or American Trypanosomiasis, as well as new rational approaches being developed as a consequence on the increased understanding of the biochemistry and physiology of its causative agent, the protozoan parasite Trypanosoma cruzi. Currently available drugs (nitrofurans and nitroimidazoles), developed empirically over three decades ago, are unsatisfactory due to frequent toxic side effects and limited efficacy, particularly in the prevalent chronic form of the disease. Furthermore, studies of their mechanism of action have shown that their antiparasitic activity is inextricably linked to mammalian host toxicity. Recent advances in this field include the demonstration that new triazole derivatives, with selective inhibitory activity on the parasite's de novo sterol biosynthesis and special pharmacokinetic properties, can induce radical parasitological cure of both acute and chronic Chagas experimental disease. These compounds are active against nitrofuran- and nitroimidazole-resistant T.cruzi strains and maintain their activity even if the hosts are immunosuppressed and are thus logical candidates for clinical trials with Chagas disease patients. Inhibitors of cruzipain, a cathepsin L-like protease responsible for the major proteolytic activity in all stages of the life cycle of the parasite, can selectively block the proliferation of T.cruzi, both in vitro and in vivo and have curative activity in murine models of acute Chagas disease; a significant effort is being devoted to their development as antiparasitic drugs. Alkyl-lysophospholipids, which selectively block phosphatidyl-choline biosynthesis in T.cruzi, are promising antiparasitic agents with good oral activity and low toxicity. Other biochemical pathways have been identified as potential chemotherapeutic targets, including hypoxanthine-guanine phosphoribosyl transferase and the enzymes involved in the synthesis and metabolism of trypanothione and inorganic pyrophosphate.", "author" : [ { "dropping-particle" : "", "family" : "Urbina", "given" : "J A", "non-dropping-particle" : "", "parse-names" : false, "suffix" : "" } ], "container-title" : "Curr Pharm Des", "edition" : "2002/02/28", "id" : "ITEM-5", "issue" : "4", "issued" : { "date-parts" : [ [ "2002" ] ] }, "language" : "eng", "page" : "287-295", "title" : "Chemotherapy of Chagas disease", "type" : "article-journal", "volume" : "8" }, "uris" : [ "http://www.mendeley.com/documents/?uuid=c3ba52d9-eb75-4bc0-b045-9115fb97f14f" ] }, { "id" : "ITEM-6", "itemData" : { "DOI" : "10.1086/648073", "ISBN" : "1537-6591 (Electronic)\n1058-4838 (Linking)", "PMID" : "19877968", "author" : [ { "dropping-particle" : "", "family" : "Urbina", "given" : "J A", "non-dropping-particle" : "", "parse-names" : false, "suffix" : "" } ], "container-title" : "Clin Infect Dis", "edition" : "2009/11/03", "id" : "ITEM-6", "issue" : "11", "issued" : { "date-parts" : [ [ "2009" ] ] }, "language" : "eng", "page" : "1685-1687", "title" : "New advances in the management of a long-neglected disease", "type" : "article-journal", "volume" : "49" }, "uris" : [ "http://www.mendeley.com/documents/?uuid=b7da57c9-ce3f-4cdf-af65-be93ae770ce0" ] }, { "id" : "ITEM-7", "itemData" : { "DOI" : "S0074-02762009000900041 [pii]", "ISBN" : "1678-8060 (Electronic)", "PMID" : "19649469", "abstract" : "This article presents an overview of the currently available drugs nifurtimox (NFX) and benznidazole (BZN) used against Trypanosoma cruzi, the aetiological agent of Chagas disease; herein we discuss their limitations along with potential alternatives with a focus on ergosterol biosynthesis inhibitors (EBI). These compounds are currently the most advanced candidates for new anti-T. cruzi agents given that they block de novo production of 24-alkyl-sterols, which are essential for parasite survival and cannot be replaced by a host's own cholesterol. Among these compounds, new triazole derivatives that inhibit the parasite's C14+/- sterol demethylase are the most promising, as they have been shown to have curative activity in murine models of acute and chronic Chagas disease and are active against NFX and BZN-resistant T. cruzi strains; among this class of compounds, posaconazole (Schering-Plough Research Institute) and ravuconazole (Eisai Company) are poised for clinical trials in Chagas disease patients in the short term. Other T. cruzi-specific EBI, with in vitro and in vivo potency, include squalene synthase, lanosterol synthase and squalene epoxidase-inhibitors as well as compounds with dual mechanisms of action (ergosterol biosynthesis inhibition and free radical generation), but they are less advanced in their development process. The main putative advantages of EBI over currently available therapies include their higher potency and selectivity in both acute and chronic infections, activity against NFX and BZN-resistant T. cruzi strains, and much better tolerability and safety profiles. Limitations may include complexity and cost of manufacture of the new compounds. As for any new drug, such compounds will require extensive clinical testing before being introduced for clinical use, and the complexity of such studies, particularly in chronic patients, will be compounded by the current limitations in the verification of true parasitological cures for T. cruzi infections.", "author" : [ { "dropping-particle" : "", "family" : "Urbina", "given" : "J A", "non-dropping-particle" : "", "parse-names" : false, "suffix" : "" } ], "container-title" : "Mem Inst Oswaldo Cruz", "edition" : "2009/08/04", "id" : "ITEM-7", "issue" : "4", "issued" : { "date-parts" : [ [ "2009" ] ] }, "language" : "eng", "page" : "311-318", "title" : "Ergosterol biosynthesis and drug development for Chagas disease", "type" : "article-journal", "volume" : "104" }, "uris" : [ "http://www.mendeley.com/documents/?uuid=d386fc04-e33e-4f68-a102-3ab9869cdb3d" ] }, { "id" : "ITEM-8", "itemData" : { "DOI" : "10.1016/j.actatropica.2009.10.023", "ISSN" : "1873-6254", "PMID" : "19900395", "abstract" : "A critical review of the development of specific chemotherapeutic approaches for the management of American Trypanosomiasis or Chagas disease is presented, including controversies on the pathogenesis of the disease, the initial efforts that led to the development of currently available drugs (nifurtimox and benznidazole), limitations of these therapies and novel approaches for the development of anti-Trypanosoma cruzi drugs, based on our growing understanding of the biology of this parasite. Among the later, the most promising approaches are ergosterol biosynthesis inhibitors such as posaconazole and ravuconazole, poised to enter clinical trials for chronic Chagas disease in the short term; inhibitors of cruzipain, the main cysteine protease of T. cruzi, essential for its survival and proliferation in vitro and in vivo; bisphosphonates, metabolic stable pyrophosphate analogs that have trypanocidal activity through the inhibition of the parasite's farnesyl-pyrophosphate synthase or hexokinase; inhibitors of trypanothione synthesis and redox metabolism and inhibitors of hypoxanthine-guanine phosphoribosyl-transferase, an essential enzyme for purine salvage in T. cruzi and related organisms. Finally, the economic and political challenges faced by development of drugs for the treatment of neglected tropical diseases, which afflict almost exclusively poor populations in developing countries, are analyzed and recent potential solutions for this conundrum are discussed.", "author" : [ { "dropping-particle" : "", "family" : "Urbina", "given" : "Julio a", "non-dropping-particle" : "", "parse-names" : false, "suffix" : "" } ], "container-title" : "Acta tropica", "id" : "ITEM-8", "issue" : "1-2", "issued" : { "date-parts" : [ [ "2010" ] ] }, "page" : "55-68", "publisher" : "Elsevier B.V.", "title" : "Specific chemotherapy of Chagas disease: relevance, current limitations and new approaches.", "type" : "article-journal", "volume" : "115" }, "uris" : [ "http://www.mendeley.com/documents/?uuid=9faf75dd-1ceb-4466-a886-d2e0384751b2" ] }, { "id" : "ITEM-9", "itemData" : { "DOI" : "10.1016/j.pt.2003.09.001", "ISBN" : "1471-4922 (Print)", "ISSN" : "14714922", "PMID" : "14580960", "author" : [ { "dropping-particle" : "", "family" : "Urbina", "given" : "Julio a.", "non-dropping-particle" : "", "parse-names" : false, "suffix" : "" }, { "dropping-particle" : "", "family" : "Docampo", "given" : "Roberto", "non-dropping-particle" : "", "parse-names" : false, "suffix" : "" } ], "container-title" : "Trends Parasitol", "edition" : "2003/10/29", "id" : "ITEM-9", "issue" : "11", "issued" : { "date-parts" : [ [ "2003", "11" ] ] }, "language" : "eng", "note" : "From Duplicate 2 ( ", "page" : "495-501", "title" : "Specific chemotherapy of Chagas disease: controversies and advances", "type" : "article-journal", "volume" : "19" }, "uris" : [ "http://www.mendeley.com/documents/?uuid=9fa627ca-476d-46e1-8535-e3983947443f" ] } ], "mendeley" : { "formattedCitation" : "&lt;sup&gt;13\u201321&lt;/sup&gt;", "plainTextFormattedCitation" : "13\u201321", "previouslyFormattedCitation" : "&lt;sup&gt;13\u201321&lt;/sup&gt;" }, "properties" : { "noteIndex" : 0 }, "schema" : "https://github.com/citation-style-language/schema/raw/master/csl-citation.json" }</w:instrText>
      </w:r>
      <w:r w:rsidR="00E41460" w:rsidRPr="00DB6D42">
        <w:rPr>
          <w:lang w:val="en-US"/>
        </w:rPr>
        <w:fldChar w:fldCharType="separate"/>
      </w:r>
      <w:r w:rsidR="00681C64" w:rsidRPr="00DB6D42">
        <w:rPr>
          <w:noProof/>
          <w:vertAlign w:val="superscript"/>
          <w:lang w:val="en-US"/>
        </w:rPr>
        <w:t>9</w:t>
      </w:r>
      <w:r w:rsidR="00C46D06" w:rsidRPr="00DB6D42">
        <w:rPr>
          <w:noProof/>
          <w:vertAlign w:val="superscript"/>
          <w:lang w:val="en-US"/>
        </w:rPr>
        <w:t>-</w:t>
      </w:r>
      <w:r w:rsidR="00681C64" w:rsidRPr="00DB6D42">
        <w:rPr>
          <w:noProof/>
          <w:vertAlign w:val="superscript"/>
          <w:lang w:val="en-US"/>
        </w:rPr>
        <w:t>-11</w:t>
      </w:r>
      <w:r w:rsidR="00E41460" w:rsidRPr="00DB6D42">
        <w:rPr>
          <w:lang w:val="en-US"/>
        </w:rPr>
        <w:fldChar w:fldCharType="end"/>
      </w:r>
      <w:r w:rsidR="008232E5" w:rsidRPr="00DB6D42">
        <w:rPr>
          <w:lang w:val="en-US"/>
        </w:rPr>
        <w:t xml:space="preserve"> </w:t>
      </w:r>
      <w:r w:rsidRPr="00DB6D42">
        <w:rPr>
          <w:lang w:val="en-US"/>
        </w:rPr>
        <w:t xml:space="preserve">Encouraging </w:t>
      </w:r>
      <w:r w:rsidR="00606B99" w:rsidRPr="00DB6D42">
        <w:rPr>
          <w:lang w:val="en-US"/>
        </w:rPr>
        <w:t>data</w:t>
      </w:r>
      <w:r w:rsidR="00344FF0" w:rsidRPr="00DB6D42">
        <w:rPr>
          <w:lang w:val="en-US"/>
        </w:rPr>
        <w:t xml:space="preserve"> </w:t>
      </w:r>
      <w:r w:rsidRPr="00DB6D42">
        <w:rPr>
          <w:lang w:val="en-US"/>
        </w:rPr>
        <w:t>raised hopes that E1224</w:t>
      </w:r>
      <w:r w:rsidR="00966E90" w:rsidRPr="00DB6D42">
        <w:rPr>
          <w:lang w:val="en-US"/>
        </w:rPr>
        <w:t xml:space="preserve">, </w:t>
      </w:r>
      <w:r w:rsidR="008F6B1B" w:rsidRPr="00DB6D42">
        <w:rPr>
          <w:lang w:val="en-US"/>
        </w:rPr>
        <w:t xml:space="preserve">a </w:t>
      </w:r>
      <w:r w:rsidR="00966E90" w:rsidRPr="00DB6D42">
        <w:rPr>
          <w:lang w:val="en-US"/>
        </w:rPr>
        <w:t>water-soluble RAV pro-drug,</w:t>
      </w:r>
      <w:r w:rsidRPr="00DB6D42">
        <w:rPr>
          <w:lang w:val="en-US"/>
        </w:rPr>
        <w:t xml:space="preserve"> could be a priority candidate for clinical development </w:t>
      </w:r>
      <w:r w:rsidR="00606B99" w:rsidRPr="00DB6D42">
        <w:rPr>
          <w:lang w:val="en-US"/>
        </w:rPr>
        <w:t>in</w:t>
      </w:r>
      <w:r w:rsidR="00344FF0" w:rsidRPr="00DB6D42">
        <w:rPr>
          <w:lang w:val="en-US"/>
        </w:rPr>
        <w:t xml:space="preserve"> </w:t>
      </w:r>
      <w:r w:rsidR="005A5BCF" w:rsidRPr="00DB6D42">
        <w:rPr>
          <w:lang w:val="en-US"/>
        </w:rPr>
        <w:t>CD</w:t>
      </w:r>
      <w:r w:rsidR="00E3505B" w:rsidRPr="00DB6D42">
        <w:rPr>
          <w:lang w:val="en-US"/>
        </w:rPr>
        <w:t>,</w:t>
      </w:r>
      <w:r w:rsidRPr="00DB6D42">
        <w:rPr>
          <w:lang w:val="en-US"/>
        </w:rPr>
        <w:t xml:space="preserve"> and</w:t>
      </w:r>
      <w:r w:rsidR="00FE755D" w:rsidRPr="00DB6D42">
        <w:rPr>
          <w:lang w:val="en-US"/>
        </w:rPr>
        <w:t xml:space="preserve"> </w:t>
      </w:r>
      <w:r w:rsidRPr="00DB6D42">
        <w:rPr>
          <w:lang w:val="en-US"/>
        </w:rPr>
        <w:t>the first n</w:t>
      </w:r>
      <w:r w:rsidR="00B87A5B" w:rsidRPr="00DB6D42">
        <w:rPr>
          <w:lang w:val="en-US"/>
        </w:rPr>
        <w:t xml:space="preserve">ew chemical entity </w:t>
      </w:r>
      <w:r w:rsidRPr="00DB6D42">
        <w:rPr>
          <w:lang w:val="en-US"/>
        </w:rPr>
        <w:t xml:space="preserve">developed in </w:t>
      </w:r>
      <w:r w:rsidR="00217CA5" w:rsidRPr="00DB6D42">
        <w:rPr>
          <w:lang w:val="en-US"/>
        </w:rPr>
        <w:t xml:space="preserve">over </w:t>
      </w:r>
      <w:r w:rsidR="00344FF0" w:rsidRPr="00DB6D42">
        <w:rPr>
          <w:lang w:val="en-US"/>
        </w:rPr>
        <w:t xml:space="preserve">three </w:t>
      </w:r>
      <w:r w:rsidR="00217CA5" w:rsidRPr="00DB6D42">
        <w:rPr>
          <w:lang w:val="en-US"/>
        </w:rPr>
        <w:t>decade</w:t>
      </w:r>
      <w:r w:rsidR="00344FF0" w:rsidRPr="00DB6D42">
        <w:rPr>
          <w:lang w:val="en-US"/>
        </w:rPr>
        <w:t>s</w:t>
      </w:r>
      <w:r w:rsidRPr="00DB6D42">
        <w:rPr>
          <w:lang w:val="en-US"/>
        </w:rPr>
        <w:t>.</w:t>
      </w:r>
      <w:r w:rsidR="000123D0" w:rsidRPr="00DB6D42">
        <w:rPr>
          <w:lang w:val="en-US"/>
        </w:rPr>
        <w:t xml:space="preserve"> </w:t>
      </w:r>
      <w:r w:rsidR="00005E20" w:rsidRPr="00DB6D42">
        <w:rPr>
          <w:lang w:val="en-US"/>
        </w:rPr>
        <w:t>O</w:t>
      </w:r>
      <w:r w:rsidR="000123D0" w:rsidRPr="00DB6D42">
        <w:rPr>
          <w:lang w:val="en-US"/>
        </w:rPr>
        <w:t xml:space="preserve">verall </w:t>
      </w:r>
      <w:r w:rsidR="00005E20" w:rsidRPr="00DB6D42">
        <w:rPr>
          <w:lang w:val="en-US"/>
        </w:rPr>
        <w:t>RAV</w:t>
      </w:r>
      <w:r w:rsidR="000123D0" w:rsidRPr="00DB6D42">
        <w:rPr>
          <w:lang w:val="en-US"/>
        </w:rPr>
        <w:t xml:space="preserve"> systemic exposures are substantially higher in humans with E1224 </w:t>
      </w:r>
      <w:r w:rsidR="00005E20" w:rsidRPr="00DB6D42">
        <w:rPr>
          <w:lang w:val="en-US"/>
        </w:rPr>
        <w:t xml:space="preserve">pro-drug </w:t>
      </w:r>
      <w:r w:rsidR="000123D0" w:rsidRPr="00DB6D42">
        <w:rPr>
          <w:lang w:val="en-US"/>
        </w:rPr>
        <w:t xml:space="preserve">administration </w:t>
      </w:r>
      <w:r w:rsidR="00005E20" w:rsidRPr="00DB6D42">
        <w:rPr>
          <w:lang w:val="en-US"/>
        </w:rPr>
        <w:t xml:space="preserve">leading to </w:t>
      </w:r>
      <w:r w:rsidR="000123D0" w:rsidRPr="00DB6D42">
        <w:rPr>
          <w:lang w:val="en-US"/>
        </w:rPr>
        <w:t>increased bioavailability and longer plasma terminal half-life. With E1224 loading dose strategy, steady-state is achieved in ≤1 week and allow for once-weekly dosing for maintenance of target plasma concentrations.</w:t>
      </w:r>
    </w:p>
    <w:p w14:paraId="1F013E73" w14:textId="77777777" w:rsidR="00F92B37" w:rsidRPr="00DB6D42" w:rsidRDefault="00B32B9F" w:rsidP="00BB5FF5">
      <w:pPr>
        <w:spacing w:line="360" w:lineRule="auto"/>
        <w:jc w:val="both"/>
        <w:rPr>
          <w:lang w:val="en-US"/>
        </w:rPr>
      </w:pPr>
      <w:r w:rsidRPr="00DB6D42">
        <w:rPr>
          <w:lang w:val="en-US"/>
        </w:rPr>
        <w:t xml:space="preserve">We present </w:t>
      </w:r>
      <w:r w:rsidR="00FD2585" w:rsidRPr="00DB6D42">
        <w:rPr>
          <w:lang w:val="en-US"/>
        </w:rPr>
        <w:t xml:space="preserve">the </w:t>
      </w:r>
      <w:r w:rsidRPr="00DB6D42">
        <w:rPr>
          <w:lang w:val="en-US"/>
        </w:rPr>
        <w:t>results of a proof-of-concept randomized phase II study evaluating three oral E1224 dosing regimens</w:t>
      </w:r>
      <w:r w:rsidR="00BF2F55" w:rsidRPr="00DB6D42">
        <w:rPr>
          <w:lang w:val="en-US"/>
        </w:rPr>
        <w:t xml:space="preserve"> and</w:t>
      </w:r>
      <w:r w:rsidR="00FE755D" w:rsidRPr="00DB6D42">
        <w:rPr>
          <w:lang w:val="en-US"/>
        </w:rPr>
        <w:t xml:space="preserve"> </w:t>
      </w:r>
      <w:r w:rsidR="004A1571" w:rsidRPr="00DB6D42">
        <w:rPr>
          <w:lang w:val="en-US"/>
        </w:rPr>
        <w:t>BZN</w:t>
      </w:r>
      <w:r w:rsidR="00FE755D" w:rsidRPr="00DB6D42">
        <w:rPr>
          <w:lang w:val="en-US"/>
        </w:rPr>
        <w:t xml:space="preserve"> </w:t>
      </w:r>
      <w:r w:rsidR="004A1571" w:rsidRPr="00DB6D42">
        <w:rPr>
          <w:lang w:val="en-US"/>
        </w:rPr>
        <w:t>versus</w:t>
      </w:r>
      <w:r w:rsidR="00FE755D" w:rsidRPr="00DB6D42">
        <w:rPr>
          <w:lang w:val="en-US"/>
        </w:rPr>
        <w:t xml:space="preserve"> </w:t>
      </w:r>
      <w:r w:rsidRPr="00DB6D42">
        <w:rPr>
          <w:lang w:val="en-US"/>
        </w:rPr>
        <w:t xml:space="preserve">placebo for the treatment of </w:t>
      </w:r>
      <w:r w:rsidR="00163A07" w:rsidRPr="00DB6D42">
        <w:rPr>
          <w:lang w:val="en-US"/>
        </w:rPr>
        <w:t xml:space="preserve">adult </w:t>
      </w:r>
      <w:r w:rsidRPr="00DB6D42">
        <w:rPr>
          <w:lang w:val="en-US"/>
        </w:rPr>
        <w:t xml:space="preserve">chronic indeterminate </w:t>
      </w:r>
      <w:r w:rsidR="008232E5" w:rsidRPr="00DB6D42">
        <w:rPr>
          <w:lang w:val="en-US"/>
        </w:rPr>
        <w:t>CD</w:t>
      </w:r>
      <w:r w:rsidRPr="00DB6D42">
        <w:rPr>
          <w:lang w:val="en-US"/>
        </w:rPr>
        <w:t>.</w:t>
      </w:r>
    </w:p>
    <w:p w14:paraId="0DC57974" w14:textId="77777777" w:rsidR="00B32B9F" w:rsidRPr="00DB6D42" w:rsidRDefault="00B32B9F" w:rsidP="00BB5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360" w:lineRule="auto"/>
        <w:jc w:val="both"/>
        <w:rPr>
          <w:rFonts w:cs="Arial"/>
          <w:color w:val="000000"/>
          <w:szCs w:val="18"/>
          <w:lang w:val="en-US"/>
        </w:rPr>
      </w:pPr>
    </w:p>
    <w:p w14:paraId="6BD1090A" w14:textId="77777777" w:rsidR="00B32B9F" w:rsidRPr="00DB6D42" w:rsidRDefault="00B32B9F" w:rsidP="00BB5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360" w:lineRule="auto"/>
        <w:jc w:val="both"/>
        <w:rPr>
          <w:rFonts w:cs="Arial"/>
          <w:bCs/>
          <w:color w:val="000000"/>
          <w:szCs w:val="29"/>
          <w:lang w:val="en-US"/>
        </w:rPr>
      </w:pPr>
      <w:r w:rsidRPr="00DB6D42">
        <w:rPr>
          <w:rFonts w:cs="Arial"/>
          <w:b/>
          <w:bCs/>
          <w:color w:val="000000"/>
          <w:szCs w:val="29"/>
          <w:lang w:val="en-US"/>
        </w:rPr>
        <w:t>Materials and Methods</w:t>
      </w:r>
    </w:p>
    <w:p w14:paraId="19FBA473" w14:textId="05C15E1E" w:rsidR="00B32B9F" w:rsidRPr="00DB6D42" w:rsidRDefault="0045288B" w:rsidP="00BB5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360" w:lineRule="auto"/>
        <w:jc w:val="both"/>
        <w:rPr>
          <w:rFonts w:cs="Arial"/>
          <w:b/>
          <w:bCs/>
          <w:i/>
          <w:color w:val="000000"/>
          <w:szCs w:val="29"/>
          <w:lang w:val="en-US"/>
        </w:rPr>
      </w:pPr>
      <w:r w:rsidRPr="00DB6D42">
        <w:rPr>
          <w:rFonts w:cs="Arial"/>
          <w:b/>
          <w:bCs/>
          <w:i/>
          <w:color w:val="000000"/>
          <w:szCs w:val="29"/>
          <w:lang w:val="en-US"/>
        </w:rPr>
        <w:t>Study</w:t>
      </w:r>
      <w:r w:rsidR="00B32B9F" w:rsidRPr="00DB6D42">
        <w:rPr>
          <w:rFonts w:cs="Arial"/>
          <w:b/>
          <w:bCs/>
          <w:i/>
          <w:color w:val="000000"/>
          <w:szCs w:val="29"/>
          <w:lang w:val="en-US"/>
        </w:rPr>
        <w:t xml:space="preserve"> design</w:t>
      </w:r>
    </w:p>
    <w:p w14:paraId="7179E1E3" w14:textId="78527A86" w:rsidR="00B32B9F" w:rsidRPr="00DB6D42" w:rsidRDefault="001047E3" w:rsidP="00BB5FF5">
      <w:pPr>
        <w:spacing w:line="360" w:lineRule="auto"/>
        <w:jc w:val="both"/>
        <w:rPr>
          <w:rFonts w:cs="Arial"/>
          <w:bCs/>
          <w:szCs w:val="29"/>
          <w:lang w:val="en-US"/>
        </w:rPr>
      </w:pPr>
      <w:r w:rsidRPr="00DB6D42">
        <w:rPr>
          <w:rFonts w:cs="Arial"/>
          <w:bCs/>
          <w:color w:val="000000"/>
          <w:szCs w:val="29"/>
          <w:lang w:val="en-US"/>
        </w:rPr>
        <w:lastRenderedPageBreak/>
        <w:t xml:space="preserve">The </w:t>
      </w:r>
      <w:r w:rsidR="00E4528F" w:rsidRPr="00DB6D42">
        <w:rPr>
          <w:rFonts w:cs="Arial"/>
          <w:bCs/>
          <w:color w:val="000000"/>
          <w:szCs w:val="29"/>
          <w:lang w:val="en-US"/>
        </w:rPr>
        <w:t>study</w:t>
      </w:r>
      <w:r w:rsidR="00B32B9F" w:rsidRPr="00DB6D42">
        <w:rPr>
          <w:rFonts w:cs="Arial"/>
          <w:bCs/>
          <w:color w:val="000000"/>
          <w:szCs w:val="29"/>
          <w:lang w:val="en-US"/>
        </w:rPr>
        <w:t xml:space="preserve"> </w:t>
      </w:r>
      <w:r w:rsidRPr="00DB6D42">
        <w:rPr>
          <w:rFonts w:cs="Arial"/>
          <w:bCs/>
          <w:color w:val="000000"/>
          <w:szCs w:val="29"/>
          <w:lang w:val="en-US"/>
        </w:rPr>
        <w:t xml:space="preserve">was </w:t>
      </w:r>
      <w:r w:rsidR="00B32B9F" w:rsidRPr="00DB6D42">
        <w:rPr>
          <w:rFonts w:cs="Arial"/>
          <w:bCs/>
          <w:color w:val="000000"/>
          <w:szCs w:val="29"/>
          <w:lang w:val="en-US"/>
        </w:rPr>
        <w:t>conducted in</w:t>
      </w:r>
      <w:r w:rsidR="00567BB4" w:rsidRPr="00DB6D42">
        <w:rPr>
          <w:rFonts w:cs="Arial"/>
          <w:bCs/>
          <w:color w:val="000000"/>
          <w:szCs w:val="29"/>
          <w:lang w:val="en-US"/>
        </w:rPr>
        <w:t xml:space="preserve"> two </w:t>
      </w:r>
      <w:r w:rsidR="00153E93" w:rsidRPr="00DB6D42">
        <w:rPr>
          <w:rFonts w:cs="Arial"/>
          <w:bCs/>
          <w:color w:val="000000"/>
          <w:szCs w:val="29"/>
          <w:lang w:val="en-US"/>
        </w:rPr>
        <w:t>outpatient units</w:t>
      </w:r>
      <w:r w:rsidR="00567BB4" w:rsidRPr="00DB6D42">
        <w:rPr>
          <w:rFonts w:cs="Arial"/>
          <w:bCs/>
          <w:color w:val="000000"/>
          <w:szCs w:val="29"/>
          <w:lang w:val="en-US"/>
        </w:rPr>
        <w:t xml:space="preserve"> in</w:t>
      </w:r>
      <w:r w:rsidR="00B32B9F" w:rsidRPr="00DB6D42">
        <w:rPr>
          <w:rFonts w:cs="Arial"/>
          <w:bCs/>
          <w:color w:val="000000"/>
          <w:szCs w:val="29"/>
          <w:lang w:val="en-US"/>
        </w:rPr>
        <w:t xml:space="preserve"> Bolivia</w:t>
      </w:r>
      <w:r w:rsidR="00567BB4" w:rsidRPr="00DB6D42">
        <w:rPr>
          <w:rFonts w:cs="Arial"/>
          <w:bCs/>
          <w:color w:val="000000"/>
          <w:szCs w:val="29"/>
          <w:lang w:val="en-US"/>
        </w:rPr>
        <w:t xml:space="preserve"> (Cochabamba and </w:t>
      </w:r>
      <w:r w:rsidR="00D66008" w:rsidRPr="00DB6D42">
        <w:rPr>
          <w:rFonts w:cs="Arial"/>
          <w:bCs/>
          <w:color w:val="000000"/>
          <w:szCs w:val="29"/>
          <w:lang w:val="en-US"/>
        </w:rPr>
        <w:t>Tarija</w:t>
      </w:r>
      <w:r w:rsidR="00567BB4" w:rsidRPr="00DB6D42">
        <w:rPr>
          <w:rFonts w:cs="Arial"/>
          <w:bCs/>
          <w:color w:val="000000"/>
          <w:szCs w:val="29"/>
          <w:lang w:val="en-US"/>
        </w:rPr>
        <w:t>)</w:t>
      </w:r>
      <w:r w:rsidRPr="00DB6D42">
        <w:rPr>
          <w:rFonts w:cs="Arial"/>
          <w:bCs/>
          <w:color w:val="000000"/>
          <w:szCs w:val="29"/>
          <w:lang w:val="en-US"/>
        </w:rPr>
        <w:t xml:space="preserve">. The trial </w:t>
      </w:r>
      <w:r w:rsidR="003A7AFE" w:rsidRPr="00DB6D42">
        <w:rPr>
          <w:rFonts w:cs="Arial"/>
          <w:bCs/>
          <w:color w:val="000000"/>
          <w:szCs w:val="29"/>
          <w:lang w:val="en-US"/>
        </w:rPr>
        <w:t>was</w:t>
      </w:r>
      <w:r w:rsidRPr="00DB6D42">
        <w:rPr>
          <w:rFonts w:cs="Arial"/>
          <w:bCs/>
          <w:color w:val="000000"/>
          <w:szCs w:val="29"/>
          <w:lang w:val="en-US"/>
        </w:rPr>
        <w:t xml:space="preserve"> a p</w:t>
      </w:r>
      <w:r w:rsidR="00B32B9F" w:rsidRPr="00DB6D42">
        <w:rPr>
          <w:rFonts w:cs="Arial"/>
          <w:bCs/>
          <w:color w:val="000000"/>
          <w:szCs w:val="29"/>
          <w:lang w:val="en-US"/>
        </w:rPr>
        <w:t>lacebo</w:t>
      </w:r>
      <w:r w:rsidRPr="00DB6D42">
        <w:rPr>
          <w:rFonts w:cs="Arial"/>
          <w:bCs/>
          <w:color w:val="000000"/>
          <w:szCs w:val="29"/>
          <w:lang w:val="en-US"/>
        </w:rPr>
        <w:t xml:space="preserve"> and</w:t>
      </w:r>
      <w:r w:rsidR="00C50938" w:rsidRPr="00DB6D42">
        <w:rPr>
          <w:rFonts w:cs="Arial"/>
          <w:bCs/>
          <w:color w:val="000000"/>
          <w:szCs w:val="29"/>
          <w:lang w:val="en-US"/>
        </w:rPr>
        <w:t xml:space="preserve"> active-controlled</w:t>
      </w:r>
      <w:r w:rsidRPr="00DB6D42">
        <w:rPr>
          <w:rFonts w:cs="Arial"/>
          <w:bCs/>
          <w:color w:val="000000"/>
          <w:szCs w:val="29"/>
          <w:lang w:val="en-US"/>
        </w:rPr>
        <w:t xml:space="preserve"> (BZN)</w:t>
      </w:r>
      <w:r w:rsidR="00C50938" w:rsidRPr="00DB6D42">
        <w:rPr>
          <w:rFonts w:cs="Arial"/>
          <w:bCs/>
          <w:color w:val="000000"/>
          <w:szCs w:val="29"/>
          <w:lang w:val="en-US"/>
        </w:rPr>
        <w:t>, randomiz</w:t>
      </w:r>
      <w:r w:rsidR="00B32B9F" w:rsidRPr="00DB6D42">
        <w:rPr>
          <w:rFonts w:cs="Arial"/>
          <w:bCs/>
          <w:color w:val="000000"/>
          <w:szCs w:val="29"/>
          <w:lang w:val="en-US"/>
        </w:rPr>
        <w:t>e</w:t>
      </w:r>
      <w:r w:rsidRPr="00DB6D42">
        <w:rPr>
          <w:rFonts w:cs="Arial"/>
          <w:bCs/>
          <w:color w:val="000000"/>
          <w:szCs w:val="29"/>
          <w:lang w:val="en-US"/>
        </w:rPr>
        <w:t>d, prospective, assessor blind,</w:t>
      </w:r>
      <w:r w:rsidR="00B32B9F" w:rsidRPr="00DB6D42">
        <w:rPr>
          <w:rFonts w:cs="Arial"/>
          <w:bCs/>
          <w:color w:val="000000"/>
          <w:szCs w:val="29"/>
          <w:lang w:val="en-US"/>
        </w:rPr>
        <w:t xml:space="preserve"> comparative, dose-finding</w:t>
      </w:r>
      <w:r w:rsidR="003C70DE" w:rsidRPr="00DB6D42">
        <w:rPr>
          <w:rFonts w:cs="Arial"/>
          <w:bCs/>
          <w:color w:val="000000"/>
          <w:szCs w:val="29"/>
          <w:lang w:val="en-US"/>
        </w:rPr>
        <w:t>,</w:t>
      </w:r>
      <w:r w:rsidR="00B32B9F" w:rsidRPr="00DB6D42">
        <w:rPr>
          <w:rFonts w:cs="Arial"/>
          <w:bCs/>
          <w:color w:val="000000"/>
          <w:szCs w:val="29"/>
          <w:lang w:val="en-US"/>
        </w:rPr>
        <w:t xml:space="preserve"> and proof-of-concept study</w:t>
      </w:r>
      <w:r w:rsidR="00B21755" w:rsidRPr="00DB6D42">
        <w:rPr>
          <w:rFonts w:cs="Arial"/>
          <w:bCs/>
          <w:color w:val="000000"/>
          <w:szCs w:val="29"/>
          <w:lang w:val="en-US"/>
        </w:rPr>
        <w:t xml:space="preserve"> of superiority</w:t>
      </w:r>
      <w:r w:rsidR="00B32B9F" w:rsidRPr="00DB6D42">
        <w:rPr>
          <w:rFonts w:cs="Arial"/>
          <w:bCs/>
          <w:color w:val="000000"/>
          <w:szCs w:val="29"/>
          <w:lang w:val="en-US"/>
        </w:rPr>
        <w:t xml:space="preserve">, </w:t>
      </w:r>
      <w:r w:rsidRPr="00DB6D42">
        <w:rPr>
          <w:rFonts w:cs="Arial"/>
          <w:bCs/>
          <w:color w:val="000000"/>
          <w:szCs w:val="29"/>
          <w:lang w:val="en-US"/>
        </w:rPr>
        <w:t>testing</w:t>
      </w:r>
      <w:r w:rsidR="00B32B9F" w:rsidRPr="00DB6D42">
        <w:rPr>
          <w:rFonts w:cs="Arial"/>
          <w:bCs/>
          <w:color w:val="000000"/>
          <w:szCs w:val="29"/>
          <w:lang w:val="en-US"/>
        </w:rPr>
        <w:t xml:space="preserve"> five parallel groups. Double-blinding was limited to the E1224 and placebo arms.</w:t>
      </w:r>
      <w:r w:rsidR="006A7727" w:rsidRPr="00DB6D42">
        <w:rPr>
          <w:rFonts w:cs="Arial"/>
          <w:bCs/>
          <w:color w:val="000000"/>
          <w:szCs w:val="29"/>
          <w:lang w:val="en-US"/>
        </w:rPr>
        <w:t xml:space="preserve"> </w:t>
      </w:r>
      <w:r w:rsidR="00A70549" w:rsidRPr="00DB6D42">
        <w:rPr>
          <w:rFonts w:cs="Arial"/>
          <w:bCs/>
          <w:szCs w:val="29"/>
          <w:lang w:val="en-US"/>
        </w:rPr>
        <w:t xml:space="preserve">Patients were enrolled randomly and equally into each of the five </w:t>
      </w:r>
      <w:r w:rsidR="00BE27D0" w:rsidRPr="00DB6D42">
        <w:rPr>
          <w:rFonts w:cs="Arial"/>
          <w:bCs/>
          <w:szCs w:val="29"/>
          <w:lang w:val="en-US"/>
        </w:rPr>
        <w:t xml:space="preserve">oral </w:t>
      </w:r>
      <w:r w:rsidR="00B32B9F" w:rsidRPr="00DB6D42">
        <w:rPr>
          <w:rFonts w:cs="Arial"/>
          <w:bCs/>
          <w:szCs w:val="29"/>
          <w:lang w:val="en-US"/>
        </w:rPr>
        <w:t>treatment arms:</w:t>
      </w:r>
    </w:p>
    <w:p w14:paraId="6BDBA830" w14:textId="77777777" w:rsidR="00B32B9F" w:rsidRPr="00DB6D42" w:rsidRDefault="00B32B9F" w:rsidP="00BB5FF5">
      <w:pPr>
        <w:pStyle w:val="ColorfulList-Accent11"/>
        <w:numPr>
          <w:ilvl w:val="0"/>
          <w:numId w:val="3"/>
        </w:numPr>
        <w:spacing w:line="360" w:lineRule="auto"/>
        <w:contextualSpacing w:val="0"/>
        <w:jc w:val="both"/>
        <w:rPr>
          <w:rFonts w:cs="Arial"/>
          <w:bCs/>
          <w:color w:val="000000"/>
          <w:szCs w:val="29"/>
          <w:lang w:val="en-US"/>
        </w:rPr>
      </w:pPr>
      <w:r w:rsidRPr="00DB6D42">
        <w:rPr>
          <w:rFonts w:cs="Arial"/>
          <w:bCs/>
          <w:color w:val="000000"/>
          <w:szCs w:val="29"/>
          <w:lang w:val="en-US"/>
        </w:rPr>
        <w:t xml:space="preserve">High Dose </w:t>
      </w:r>
      <w:r w:rsidR="00FE755D" w:rsidRPr="00DB6D42">
        <w:rPr>
          <w:rFonts w:cs="Arial"/>
          <w:bCs/>
          <w:color w:val="000000"/>
          <w:szCs w:val="29"/>
          <w:lang w:val="en-US"/>
        </w:rPr>
        <w:t xml:space="preserve">– </w:t>
      </w:r>
      <w:r w:rsidR="007D63A6" w:rsidRPr="00DB6D42">
        <w:rPr>
          <w:rFonts w:cs="Arial"/>
          <w:bCs/>
          <w:color w:val="000000"/>
          <w:szCs w:val="29"/>
          <w:lang w:val="en-US"/>
        </w:rPr>
        <w:t xml:space="preserve">eight </w:t>
      </w:r>
      <w:r w:rsidR="00673187" w:rsidRPr="00DB6D42">
        <w:rPr>
          <w:rFonts w:cs="Arial"/>
          <w:bCs/>
          <w:color w:val="000000"/>
          <w:szCs w:val="29"/>
          <w:lang w:val="en-US"/>
        </w:rPr>
        <w:t xml:space="preserve">weeks </w:t>
      </w:r>
      <w:r w:rsidRPr="00DB6D42">
        <w:rPr>
          <w:rFonts w:cs="Arial"/>
          <w:bCs/>
          <w:color w:val="000000"/>
          <w:szCs w:val="29"/>
          <w:lang w:val="en-US"/>
        </w:rPr>
        <w:t>(HD</w:t>
      </w:r>
      <w:r w:rsidR="00673187" w:rsidRPr="00DB6D42">
        <w:rPr>
          <w:rFonts w:cs="Arial"/>
          <w:bCs/>
          <w:color w:val="000000"/>
          <w:szCs w:val="29"/>
          <w:lang w:val="en-US"/>
        </w:rPr>
        <w:t>)</w:t>
      </w:r>
      <w:r w:rsidR="005929FE" w:rsidRPr="00DB6D42">
        <w:rPr>
          <w:rFonts w:cs="Arial"/>
          <w:bCs/>
          <w:color w:val="000000"/>
          <w:szCs w:val="29"/>
          <w:lang w:val="en-US"/>
        </w:rPr>
        <w:t xml:space="preserve">: </w:t>
      </w:r>
      <w:r w:rsidRPr="00DB6D42">
        <w:rPr>
          <w:rFonts w:cs="Arial"/>
          <w:bCs/>
          <w:color w:val="000000"/>
          <w:szCs w:val="29"/>
          <w:lang w:val="en-US"/>
        </w:rPr>
        <w:t xml:space="preserve">E1224 </w:t>
      </w:r>
      <w:r w:rsidR="00E22947" w:rsidRPr="00DB6D42">
        <w:rPr>
          <w:rFonts w:cs="Arial"/>
          <w:bCs/>
          <w:color w:val="000000"/>
          <w:szCs w:val="29"/>
          <w:lang w:val="en-US"/>
        </w:rPr>
        <w:t xml:space="preserve">loading dose </w:t>
      </w:r>
      <w:r w:rsidRPr="00DB6D42">
        <w:rPr>
          <w:rFonts w:cs="Arial"/>
          <w:bCs/>
          <w:color w:val="000000"/>
          <w:szCs w:val="29"/>
          <w:lang w:val="en-US"/>
        </w:rPr>
        <w:t xml:space="preserve">(400 mg </w:t>
      </w:r>
      <w:proofErr w:type="spellStart"/>
      <w:r w:rsidR="00E22947" w:rsidRPr="00DB6D42">
        <w:rPr>
          <w:rFonts w:cs="Arial"/>
          <w:bCs/>
          <w:color w:val="000000"/>
          <w:szCs w:val="29"/>
          <w:lang w:val="en-US"/>
        </w:rPr>
        <w:t>qd</w:t>
      </w:r>
      <w:proofErr w:type="spellEnd"/>
      <w:r w:rsidRPr="00DB6D42">
        <w:rPr>
          <w:rFonts w:cs="Arial"/>
          <w:bCs/>
          <w:color w:val="000000"/>
          <w:szCs w:val="29"/>
          <w:lang w:val="en-US"/>
        </w:rPr>
        <w:t xml:space="preserve"> D1–3) </w:t>
      </w:r>
      <w:r w:rsidR="00E22947" w:rsidRPr="00DB6D42">
        <w:rPr>
          <w:rFonts w:cs="Arial"/>
          <w:bCs/>
          <w:color w:val="000000"/>
          <w:szCs w:val="29"/>
          <w:lang w:val="en-US"/>
        </w:rPr>
        <w:t>then</w:t>
      </w:r>
      <w:r w:rsidRPr="00DB6D42">
        <w:rPr>
          <w:rFonts w:cs="Arial"/>
          <w:bCs/>
          <w:color w:val="000000"/>
          <w:szCs w:val="29"/>
          <w:lang w:val="en-US"/>
        </w:rPr>
        <w:t xml:space="preserve"> 400 mg </w:t>
      </w:r>
      <w:proofErr w:type="spellStart"/>
      <w:r w:rsidR="00E22947" w:rsidRPr="00DB6D42">
        <w:rPr>
          <w:rFonts w:cs="Arial"/>
          <w:bCs/>
          <w:color w:val="000000"/>
          <w:szCs w:val="29"/>
          <w:lang w:val="en-US"/>
        </w:rPr>
        <w:t>qw</w:t>
      </w:r>
      <w:proofErr w:type="spellEnd"/>
      <w:r w:rsidRPr="00DB6D42">
        <w:rPr>
          <w:rFonts w:cs="Arial"/>
          <w:bCs/>
          <w:color w:val="000000"/>
          <w:szCs w:val="29"/>
          <w:lang w:val="en-US"/>
        </w:rPr>
        <w:t xml:space="preserve"> (starting D8) for seven weeks (total dose: 4000 mg)</w:t>
      </w:r>
      <w:r w:rsidR="00352E5D" w:rsidRPr="00DB6D42">
        <w:rPr>
          <w:rFonts w:cs="Arial"/>
          <w:bCs/>
          <w:color w:val="000000"/>
          <w:szCs w:val="29"/>
          <w:lang w:val="en-US"/>
        </w:rPr>
        <w:t>.</w:t>
      </w:r>
    </w:p>
    <w:p w14:paraId="64D03AD6" w14:textId="77777777" w:rsidR="00B32B9F" w:rsidRPr="00DB6D42" w:rsidRDefault="00B32B9F" w:rsidP="00BB5FF5">
      <w:pPr>
        <w:pStyle w:val="ColorfulList-Accent11"/>
        <w:numPr>
          <w:ilvl w:val="0"/>
          <w:numId w:val="3"/>
        </w:numPr>
        <w:spacing w:line="360" w:lineRule="auto"/>
        <w:contextualSpacing w:val="0"/>
        <w:jc w:val="both"/>
        <w:rPr>
          <w:rFonts w:cs="Arial"/>
          <w:bCs/>
          <w:color w:val="000000"/>
          <w:szCs w:val="29"/>
          <w:lang w:val="en-US"/>
        </w:rPr>
      </w:pPr>
      <w:r w:rsidRPr="00DB6D42">
        <w:rPr>
          <w:rFonts w:cs="Arial"/>
          <w:bCs/>
          <w:color w:val="000000"/>
          <w:szCs w:val="29"/>
          <w:lang w:val="en-US"/>
        </w:rPr>
        <w:t xml:space="preserve">Low Dose </w:t>
      </w:r>
      <w:r w:rsidR="00673187" w:rsidRPr="00DB6D42">
        <w:rPr>
          <w:rFonts w:cs="Arial"/>
          <w:bCs/>
          <w:color w:val="000000"/>
          <w:szCs w:val="29"/>
          <w:lang w:val="en-US"/>
        </w:rPr>
        <w:t xml:space="preserve">– </w:t>
      </w:r>
      <w:r w:rsidR="007D63A6" w:rsidRPr="00DB6D42">
        <w:rPr>
          <w:rFonts w:cs="Arial"/>
          <w:bCs/>
          <w:color w:val="000000"/>
          <w:szCs w:val="29"/>
          <w:lang w:val="en-US"/>
        </w:rPr>
        <w:t xml:space="preserve">eight </w:t>
      </w:r>
      <w:r w:rsidR="00673187" w:rsidRPr="00DB6D42">
        <w:rPr>
          <w:rFonts w:cs="Arial"/>
          <w:bCs/>
          <w:color w:val="000000"/>
          <w:szCs w:val="29"/>
          <w:lang w:val="en-US"/>
        </w:rPr>
        <w:t xml:space="preserve">weeks </w:t>
      </w:r>
      <w:r w:rsidRPr="00DB6D42">
        <w:rPr>
          <w:rFonts w:cs="Arial"/>
          <w:bCs/>
          <w:color w:val="000000"/>
          <w:szCs w:val="29"/>
          <w:lang w:val="en-US"/>
        </w:rPr>
        <w:t>(LD</w:t>
      </w:r>
      <w:r w:rsidR="00673187" w:rsidRPr="00DB6D42">
        <w:rPr>
          <w:rFonts w:cs="Arial"/>
          <w:bCs/>
          <w:color w:val="000000"/>
          <w:szCs w:val="29"/>
          <w:lang w:val="en-US"/>
        </w:rPr>
        <w:t>)</w:t>
      </w:r>
      <w:r w:rsidRPr="00DB6D42">
        <w:rPr>
          <w:rFonts w:cs="Arial"/>
          <w:bCs/>
          <w:color w:val="000000"/>
          <w:szCs w:val="29"/>
          <w:lang w:val="en-US"/>
        </w:rPr>
        <w:t xml:space="preserve">: E1224 </w:t>
      </w:r>
      <w:r w:rsidR="00FA59ED" w:rsidRPr="00DB6D42">
        <w:rPr>
          <w:rFonts w:cs="Arial"/>
          <w:bCs/>
          <w:color w:val="000000"/>
          <w:szCs w:val="29"/>
          <w:lang w:val="en-US"/>
        </w:rPr>
        <w:t xml:space="preserve">loading dose </w:t>
      </w:r>
      <w:r w:rsidRPr="00DB6D42">
        <w:rPr>
          <w:rFonts w:cs="Arial"/>
          <w:bCs/>
          <w:color w:val="000000"/>
          <w:szCs w:val="29"/>
          <w:lang w:val="en-US"/>
        </w:rPr>
        <w:t xml:space="preserve">and placebo (200 mg </w:t>
      </w:r>
      <w:proofErr w:type="spellStart"/>
      <w:r w:rsidR="00FA59ED" w:rsidRPr="00DB6D42">
        <w:rPr>
          <w:rFonts w:cs="Arial"/>
          <w:bCs/>
          <w:color w:val="000000"/>
          <w:szCs w:val="29"/>
          <w:lang w:val="en-US"/>
        </w:rPr>
        <w:t>qd</w:t>
      </w:r>
      <w:proofErr w:type="spellEnd"/>
      <w:r w:rsidRPr="00DB6D42">
        <w:rPr>
          <w:rFonts w:cs="Arial"/>
          <w:bCs/>
          <w:color w:val="000000"/>
          <w:szCs w:val="29"/>
          <w:lang w:val="en-US"/>
        </w:rPr>
        <w:t xml:space="preserve"> D1–3) </w:t>
      </w:r>
      <w:r w:rsidR="00FA59ED" w:rsidRPr="00DB6D42">
        <w:rPr>
          <w:rFonts w:cs="Arial"/>
          <w:bCs/>
          <w:color w:val="000000"/>
          <w:szCs w:val="29"/>
          <w:lang w:val="en-US"/>
        </w:rPr>
        <w:t>then</w:t>
      </w:r>
      <w:r w:rsidRPr="00DB6D42">
        <w:rPr>
          <w:rFonts w:cs="Arial"/>
          <w:bCs/>
          <w:color w:val="000000"/>
          <w:szCs w:val="29"/>
          <w:lang w:val="en-US"/>
        </w:rPr>
        <w:t xml:space="preserve"> 200 mg and placebo </w:t>
      </w:r>
      <w:proofErr w:type="spellStart"/>
      <w:r w:rsidR="00FA59ED" w:rsidRPr="00DB6D42">
        <w:rPr>
          <w:rFonts w:cs="Arial"/>
          <w:bCs/>
          <w:color w:val="000000"/>
          <w:szCs w:val="29"/>
          <w:lang w:val="en-US"/>
        </w:rPr>
        <w:t>qw</w:t>
      </w:r>
      <w:proofErr w:type="spellEnd"/>
      <w:r w:rsidRPr="00DB6D42">
        <w:rPr>
          <w:rFonts w:cs="Arial"/>
          <w:bCs/>
          <w:color w:val="000000"/>
          <w:szCs w:val="29"/>
          <w:lang w:val="en-US"/>
        </w:rPr>
        <w:t xml:space="preserve"> (starting D8) for seven weeks (total dose: 2000 mg)</w:t>
      </w:r>
      <w:r w:rsidR="00352E5D" w:rsidRPr="00DB6D42">
        <w:rPr>
          <w:rFonts w:cs="Arial"/>
          <w:bCs/>
          <w:color w:val="000000"/>
          <w:szCs w:val="29"/>
          <w:lang w:val="en-US"/>
        </w:rPr>
        <w:t>.</w:t>
      </w:r>
    </w:p>
    <w:p w14:paraId="236E1842" w14:textId="77777777" w:rsidR="00B32B9F" w:rsidRPr="00DB6D42" w:rsidRDefault="00B32B9F" w:rsidP="00BB5FF5">
      <w:pPr>
        <w:pStyle w:val="ColorfulList-Accent11"/>
        <w:numPr>
          <w:ilvl w:val="0"/>
          <w:numId w:val="3"/>
        </w:numPr>
        <w:spacing w:line="360" w:lineRule="auto"/>
        <w:contextualSpacing w:val="0"/>
        <w:jc w:val="both"/>
        <w:rPr>
          <w:rFonts w:cs="Arial"/>
          <w:bCs/>
          <w:color w:val="000000"/>
          <w:szCs w:val="29"/>
          <w:lang w:val="en-US"/>
        </w:rPr>
      </w:pPr>
      <w:r w:rsidRPr="00DB6D42">
        <w:rPr>
          <w:rFonts w:cs="Arial"/>
          <w:bCs/>
          <w:color w:val="000000"/>
          <w:szCs w:val="29"/>
          <w:lang w:val="en-US"/>
        </w:rPr>
        <w:t xml:space="preserve">Short Dose </w:t>
      </w:r>
      <w:r w:rsidR="00673187" w:rsidRPr="00DB6D42">
        <w:rPr>
          <w:rFonts w:cs="Arial"/>
          <w:bCs/>
          <w:color w:val="000000"/>
          <w:szCs w:val="29"/>
          <w:lang w:val="en-US"/>
        </w:rPr>
        <w:t xml:space="preserve">– </w:t>
      </w:r>
      <w:r w:rsidR="007D63A6" w:rsidRPr="00DB6D42">
        <w:rPr>
          <w:rFonts w:cs="Arial"/>
          <w:bCs/>
          <w:color w:val="000000"/>
          <w:szCs w:val="29"/>
          <w:lang w:val="en-US"/>
        </w:rPr>
        <w:t xml:space="preserve">four </w:t>
      </w:r>
      <w:r w:rsidR="00673187" w:rsidRPr="00DB6D42">
        <w:rPr>
          <w:rFonts w:cs="Arial"/>
          <w:bCs/>
          <w:color w:val="000000"/>
          <w:szCs w:val="29"/>
          <w:lang w:val="en-US"/>
        </w:rPr>
        <w:t xml:space="preserve">weeks </w:t>
      </w:r>
      <w:r w:rsidRPr="00DB6D42">
        <w:rPr>
          <w:rFonts w:cs="Arial"/>
          <w:bCs/>
          <w:color w:val="000000"/>
          <w:szCs w:val="29"/>
          <w:lang w:val="en-US"/>
        </w:rPr>
        <w:t>(SD)</w:t>
      </w:r>
      <w:r w:rsidR="005929FE" w:rsidRPr="00DB6D42">
        <w:rPr>
          <w:rFonts w:cs="Arial"/>
          <w:bCs/>
          <w:color w:val="000000"/>
          <w:szCs w:val="29"/>
          <w:lang w:val="en-US"/>
        </w:rPr>
        <w:t xml:space="preserve">: </w:t>
      </w:r>
      <w:r w:rsidRPr="00DB6D42">
        <w:rPr>
          <w:rFonts w:cs="Arial"/>
          <w:bCs/>
          <w:color w:val="000000"/>
          <w:szCs w:val="29"/>
          <w:lang w:val="en-US"/>
        </w:rPr>
        <w:t xml:space="preserve">E1224 </w:t>
      </w:r>
      <w:r w:rsidR="00FA59ED" w:rsidRPr="00DB6D42">
        <w:rPr>
          <w:rFonts w:cs="Arial"/>
          <w:bCs/>
          <w:color w:val="000000"/>
          <w:szCs w:val="29"/>
          <w:lang w:val="en-US"/>
        </w:rPr>
        <w:t xml:space="preserve">loading dose </w:t>
      </w:r>
      <w:r w:rsidRPr="00DB6D42">
        <w:rPr>
          <w:rFonts w:cs="Arial"/>
          <w:bCs/>
          <w:color w:val="000000"/>
          <w:szCs w:val="29"/>
          <w:lang w:val="en-US"/>
        </w:rPr>
        <w:t xml:space="preserve">(400 mg </w:t>
      </w:r>
      <w:proofErr w:type="spellStart"/>
      <w:r w:rsidR="00FA59ED" w:rsidRPr="00DB6D42">
        <w:rPr>
          <w:rFonts w:cs="Arial"/>
          <w:bCs/>
          <w:color w:val="000000"/>
          <w:szCs w:val="29"/>
          <w:lang w:val="en-US"/>
        </w:rPr>
        <w:t>qd</w:t>
      </w:r>
      <w:proofErr w:type="spellEnd"/>
      <w:r w:rsidRPr="00DB6D42">
        <w:rPr>
          <w:rFonts w:cs="Arial"/>
          <w:bCs/>
          <w:color w:val="000000"/>
          <w:szCs w:val="29"/>
          <w:lang w:val="en-US"/>
        </w:rPr>
        <w:t xml:space="preserve"> D1–3) </w:t>
      </w:r>
      <w:r w:rsidR="00FA59ED" w:rsidRPr="00DB6D42">
        <w:rPr>
          <w:rFonts w:cs="Arial"/>
          <w:bCs/>
          <w:color w:val="000000"/>
          <w:szCs w:val="29"/>
          <w:lang w:val="en-US"/>
        </w:rPr>
        <w:t>then</w:t>
      </w:r>
      <w:r w:rsidRPr="00DB6D42">
        <w:rPr>
          <w:rFonts w:cs="Arial"/>
          <w:bCs/>
          <w:color w:val="000000"/>
          <w:szCs w:val="29"/>
          <w:lang w:val="en-US"/>
        </w:rPr>
        <w:t xml:space="preserve"> 400 mg </w:t>
      </w:r>
      <w:proofErr w:type="spellStart"/>
      <w:r w:rsidR="00FA59ED" w:rsidRPr="00DB6D42">
        <w:rPr>
          <w:rFonts w:cs="Arial"/>
          <w:bCs/>
          <w:color w:val="000000"/>
          <w:szCs w:val="29"/>
          <w:lang w:val="en-US"/>
        </w:rPr>
        <w:t>qw</w:t>
      </w:r>
      <w:proofErr w:type="spellEnd"/>
      <w:r w:rsidRPr="00DB6D42">
        <w:rPr>
          <w:rFonts w:cs="Arial"/>
          <w:bCs/>
          <w:color w:val="000000"/>
          <w:szCs w:val="29"/>
          <w:lang w:val="en-US"/>
        </w:rPr>
        <w:t xml:space="preserve"> (starting D8) three weeks, followed by placebo </w:t>
      </w:r>
      <w:r w:rsidR="008F6B1B" w:rsidRPr="00DB6D42">
        <w:rPr>
          <w:rFonts w:cs="Arial"/>
          <w:bCs/>
          <w:color w:val="000000"/>
          <w:szCs w:val="29"/>
          <w:lang w:val="en-US"/>
        </w:rPr>
        <w:t>for</w:t>
      </w:r>
      <w:r w:rsidR="007A58D4" w:rsidRPr="00DB6D42">
        <w:rPr>
          <w:rFonts w:cs="Arial"/>
          <w:bCs/>
          <w:color w:val="000000"/>
          <w:szCs w:val="29"/>
          <w:lang w:val="en-US"/>
        </w:rPr>
        <w:t xml:space="preserve"> </w:t>
      </w:r>
      <w:r w:rsidRPr="00DB6D42">
        <w:rPr>
          <w:rFonts w:cs="Arial"/>
          <w:bCs/>
          <w:color w:val="000000"/>
          <w:szCs w:val="29"/>
          <w:lang w:val="en-US"/>
        </w:rPr>
        <w:t>seven weeks (total dose: 2400 mg)</w:t>
      </w:r>
      <w:r w:rsidR="00352E5D" w:rsidRPr="00DB6D42">
        <w:rPr>
          <w:rFonts w:cs="Arial"/>
          <w:bCs/>
          <w:color w:val="000000"/>
          <w:szCs w:val="29"/>
          <w:lang w:val="en-US"/>
        </w:rPr>
        <w:t>.</w:t>
      </w:r>
    </w:p>
    <w:p w14:paraId="51A560C3" w14:textId="77777777" w:rsidR="00B32B9F" w:rsidRPr="00DB6D42" w:rsidRDefault="00B32B9F" w:rsidP="00BB5FF5">
      <w:pPr>
        <w:pStyle w:val="ColorfulList-Accent11"/>
        <w:numPr>
          <w:ilvl w:val="0"/>
          <w:numId w:val="3"/>
        </w:numPr>
        <w:spacing w:line="360" w:lineRule="auto"/>
        <w:contextualSpacing w:val="0"/>
        <w:jc w:val="both"/>
        <w:rPr>
          <w:rFonts w:cs="Arial"/>
          <w:bCs/>
          <w:color w:val="000000"/>
          <w:szCs w:val="29"/>
          <w:lang w:val="en-US"/>
        </w:rPr>
      </w:pPr>
      <w:r w:rsidRPr="00DB6D42">
        <w:rPr>
          <w:rFonts w:cs="Arial"/>
          <w:bCs/>
          <w:color w:val="000000"/>
          <w:szCs w:val="29"/>
          <w:lang w:val="en-US"/>
        </w:rPr>
        <w:t xml:space="preserve">Placebo </w:t>
      </w:r>
      <w:r w:rsidR="005929FE" w:rsidRPr="00DB6D42">
        <w:rPr>
          <w:rFonts w:cs="Arial"/>
          <w:bCs/>
          <w:color w:val="000000"/>
          <w:szCs w:val="29"/>
          <w:lang w:val="en-US"/>
        </w:rPr>
        <w:t>g</w:t>
      </w:r>
      <w:r w:rsidRPr="00DB6D42">
        <w:rPr>
          <w:rFonts w:cs="Arial"/>
          <w:bCs/>
          <w:color w:val="000000"/>
          <w:szCs w:val="29"/>
          <w:lang w:val="en-US"/>
        </w:rPr>
        <w:t>roup</w:t>
      </w:r>
      <w:r w:rsidR="00673187" w:rsidRPr="00DB6D42">
        <w:rPr>
          <w:rFonts w:cs="Arial"/>
          <w:bCs/>
          <w:color w:val="000000"/>
          <w:szCs w:val="29"/>
          <w:lang w:val="en-US"/>
        </w:rPr>
        <w:t xml:space="preserve"> – </w:t>
      </w:r>
      <w:r w:rsidR="007D63A6" w:rsidRPr="00DB6D42">
        <w:rPr>
          <w:rFonts w:cs="Arial"/>
          <w:bCs/>
          <w:color w:val="000000"/>
          <w:szCs w:val="29"/>
          <w:lang w:val="en-US"/>
        </w:rPr>
        <w:t xml:space="preserve">eight </w:t>
      </w:r>
      <w:r w:rsidR="00673187" w:rsidRPr="00DB6D42">
        <w:rPr>
          <w:rFonts w:cs="Arial"/>
          <w:bCs/>
          <w:color w:val="000000"/>
          <w:szCs w:val="29"/>
          <w:lang w:val="en-US"/>
        </w:rPr>
        <w:t>weeks</w:t>
      </w:r>
      <w:r w:rsidRPr="00DB6D42">
        <w:rPr>
          <w:rFonts w:cs="Arial"/>
          <w:bCs/>
          <w:color w:val="000000"/>
          <w:szCs w:val="29"/>
          <w:lang w:val="en-US"/>
        </w:rPr>
        <w:t xml:space="preserve">: </w:t>
      </w:r>
      <w:r w:rsidR="005929FE" w:rsidRPr="00DB6D42">
        <w:rPr>
          <w:rFonts w:cs="Arial"/>
          <w:bCs/>
          <w:color w:val="000000"/>
          <w:szCs w:val="29"/>
          <w:lang w:val="en-US"/>
        </w:rPr>
        <w:t>four</w:t>
      </w:r>
      <w:r w:rsidRPr="00DB6D42">
        <w:rPr>
          <w:rFonts w:cs="Arial"/>
          <w:bCs/>
          <w:color w:val="000000"/>
          <w:szCs w:val="29"/>
          <w:lang w:val="en-US"/>
        </w:rPr>
        <w:t xml:space="preserve"> E1224</w:t>
      </w:r>
      <w:r w:rsidR="00FA59ED" w:rsidRPr="00DB6D42">
        <w:rPr>
          <w:rFonts w:cs="Arial"/>
          <w:bCs/>
          <w:color w:val="000000"/>
          <w:szCs w:val="29"/>
          <w:lang w:val="en-US"/>
        </w:rPr>
        <w:t>-</w:t>
      </w:r>
      <w:r w:rsidRPr="00DB6D42">
        <w:rPr>
          <w:rFonts w:cs="Arial"/>
          <w:bCs/>
          <w:color w:val="000000"/>
          <w:szCs w:val="29"/>
          <w:lang w:val="en-US"/>
        </w:rPr>
        <w:t xml:space="preserve">matched placebo tablets </w:t>
      </w:r>
      <w:proofErr w:type="spellStart"/>
      <w:r w:rsidR="00FA59ED" w:rsidRPr="00DB6D42">
        <w:rPr>
          <w:rFonts w:cs="Arial"/>
          <w:bCs/>
          <w:color w:val="000000"/>
          <w:szCs w:val="29"/>
          <w:lang w:val="en-US"/>
        </w:rPr>
        <w:t>qd</w:t>
      </w:r>
      <w:proofErr w:type="spellEnd"/>
      <w:r w:rsidRPr="00DB6D42">
        <w:rPr>
          <w:rFonts w:cs="Arial"/>
          <w:bCs/>
          <w:color w:val="000000"/>
          <w:szCs w:val="29"/>
          <w:lang w:val="en-US"/>
        </w:rPr>
        <w:t xml:space="preserve"> Day 1–3 </w:t>
      </w:r>
      <w:r w:rsidR="00FA59ED" w:rsidRPr="00DB6D42">
        <w:rPr>
          <w:rFonts w:cs="Arial"/>
          <w:bCs/>
          <w:color w:val="000000"/>
          <w:szCs w:val="29"/>
          <w:lang w:val="en-US"/>
        </w:rPr>
        <w:t>then</w:t>
      </w:r>
      <w:r w:rsidR="00FD4186" w:rsidRPr="00DB6D42">
        <w:rPr>
          <w:rFonts w:cs="Arial"/>
          <w:bCs/>
          <w:color w:val="000000"/>
          <w:szCs w:val="29"/>
          <w:lang w:val="en-US"/>
        </w:rPr>
        <w:t xml:space="preserve"> </w:t>
      </w:r>
      <w:r w:rsidR="005929FE" w:rsidRPr="00DB6D42">
        <w:rPr>
          <w:rFonts w:cs="Arial"/>
          <w:bCs/>
          <w:color w:val="000000"/>
          <w:szCs w:val="29"/>
          <w:lang w:val="en-US"/>
        </w:rPr>
        <w:t>four</w:t>
      </w:r>
      <w:r w:rsidRPr="00DB6D42">
        <w:rPr>
          <w:rFonts w:cs="Arial"/>
          <w:bCs/>
          <w:color w:val="000000"/>
          <w:szCs w:val="29"/>
          <w:lang w:val="en-US"/>
        </w:rPr>
        <w:t xml:space="preserve"> placebo tablets </w:t>
      </w:r>
      <w:proofErr w:type="spellStart"/>
      <w:r w:rsidR="00FA59ED" w:rsidRPr="00DB6D42">
        <w:rPr>
          <w:rFonts w:cs="Arial"/>
          <w:bCs/>
          <w:color w:val="000000"/>
          <w:szCs w:val="29"/>
          <w:lang w:val="en-US"/>
        </w:rPr>
        <w:t>qw</w:t>
      </w:r>
      <w:proofErr w:type="spellEnd"/>
      <w:r w:rsidRPr="00DB6D42">
        <w:rPr>
          <w:rFonts w:cs="Arial"/>
          <w:bCs/>
          <w:color w:val="000000"/>
          <w:szCs w:val="29"/>
          <w:lang w:val="en-US"/>
        </w:rPr>
        <w:t xml:space="preserve"> (starting D8) for seven weeks.</w:t>
      </w:r>
    </w:p>
    <w:p w14:paraId="507DE8F0" w14:textId="77777777" w:rsidR="00B32B9F" w:rsidRPr="00DB6D42" w:rsidRDefault="00DB5479" w:rsidP="00BB5FF5">
      <w:pPr>
        <w:pStyle w:val="ColorfulList-Accent11"/>
        <w:numPr>
          <w:ilvl w:val="0"/>
          <w:numId w:val="3"/>
        </w:numPr>
        <w:spacing w:line="360" w:lineRule="auto"/>
        <w:contextualSpacing w:val="0"/>
        <w:jc w:val="both"/>
        <w:rPr>
          <w:rFonts w:cs="Arial"/>
          <w:bCs/>
          <w:szCs w:val="29"/>
          <w:lang w:val="en-US"/>
        </w:rPr>
      </w:pPr>
      <w:r w:rsidRPr="00DB6D42">
        <w:rPr>
          <w:rFonts w:cs="Arial"/>
          <w:bCs/>
          <w:color w:val="000000"/>
          <w:szCs w:val="29"/>
          <w:lang w:val="en-US"/>
        </w:rPr>
        <w:t xml:space="preserve">BZN </w:t>
      </w:r>
      <w:r w:rsidR="005929FE" w:rsidRPr="00DB6D42">
        <w:rPr>
          <w:rFonts w:cs="Arial"/>
          <w:bCs/>
          <w:color w:val="000000"/>
          <w:szCs w:val="29"/>
          <w:lang w:val="en-US"/>
        </w:rPr>
        <w:t xml:space="preserve">group </w:t>
      </w:r>
      <w:r w:rsidR="00B32B9F" w:rsidRPr="00DB6D42">
        <w:rPr>
          <w:rFonts w:cs="Arial"/>
          <w:bCs/>
          <w:color w:val="000000"/>
          <w:szCs w:val="29"/>
          <w:lang w:val="en-US"/>
        </w:rPr>
        <w:t>(</w:t>
      </w:r>
      <w:proofErr w:type="spellStart"/>
      <w:r w:rsidR="00B32B9F" w:rsidRPr="00DB6D42">
        <w:rPr>
          <w:rFonts w:cs="Arial"/>
          <w:bCs/>
          <w:color w:val="000000"/>
          <w:szCs w:val="29"/>
          <w:lang w:val="en-US"/>
        </w:rPr>
        <w:t>Labor</w:t>
      </w:r>
      <w:r w:rsidR="00C50938" w:rsidRPr="00DB6D42">
        <w:rPr>
          <w:rFonts w:cs="Arial"/>
          <w:bCs/>
          <w:color w:val="000000"/>
          <w:szCs w:val="29"/>
          <w:lang w:val="en-US"/>
        </w:rPr>
        <w:t>atório</w:t>
      </w:r>
      <w:proofErr w:type="spellEnd"/>
      <w:r w:rsidR="00C50938" w:rsidRPr="00DB6D42">
        <w:rPr>
          <w:rFonts w:cs="Arial"/>
          <w:bCs/>
          <w:color w:val="000000"/>
          <w:szCs w:val="29"/>
          <w:lang w:val="en-US"/>
        </w:rPr>
        <w:t xml:space="preserve"> do Estado de Pernambuco – </w:t>
      </w:r>
      <w:r w:rsidR="00B32B9F" w:rsidRPr="00DB6D42">
        <w:rPr>
          <w:rFonts w:cs="Arial"/>
          <w:bCs/>
          <w:color w:val="000000"/>
          <w:szCs w:val="29"/>
          <w:lang w:val="en-US"/>
        </w:rPr>
        <w:t>LAFEPE, tablet 100</w:t>
      </w:r>
      <w:r w:rsidR="003C70DE" w:rsidRPr="00DB6D42">
        <w:rPr>
          <w:rFonts w:cs="Arial"/>
          <w:bCs/>
          <w:color w:val="000000"/>
          <w:szCs w:val="29"/>
          <w:lang w:val="en-US"/>
        </w:rPr>
        <w:t xml:space="preserve"> </w:t>
      </w:r>
      <w:r w:rsidR="00B32B9F" w:rsidRPr="00DB6D42">
        <w:rPr>
          <w:rFonts w:cs="Arial"/>
          <w:bCs/>
          <w:color w:val="000000"/>
          <w:szCs w:val="29"/>
          <w:lang w:val="en-US"/>
        </w:rPr>
        <w:t xml:space="preserve">mg), 5 </w:t>
      </w:r>
      <w:r w:rsidR="00B32B9F" w:rsidRPr="00DB6D42">
        <w:rPr>
          <w:rFonts w:cs="Arial"/>
          <w:bCs/>
          <w:szCs w:val="29"/>
          <w:lang w:val="en-US"/>
        </w:rPr>
        <w:t>mg/kg/day</w:t>
      </w:r>
      <w:r w:rsidR="00FD4186" w:rsidRPr="00DB6D42">
        <w:rPr>
          <w:rFonts w:cs="Arial"/>
          <w:bCs/>
          <w:szCs w:val="29"/>
          <w:lang w:val="en-US"/>
        </w:rPr>
        <w:t xml:space="preserve"> </w:t>
      </w:r>
      <w:r w:rsidR="00B32B9F" w:rsidRPr="00DB6D42">
        <w:rPr>
          <w:rFonts w:cs="Arial"/>
          <w:bCs/>
          <w:szCs w:val="29"/>
          <w:lang w:val="en-US"/>
        </w:rPr>
        <w:t>divided in two daily doses, for 60 days</w:t>
      </w:r>
      <w:r w:rsidR="005929FE" w:rsidRPr="00DB6D42">
        <w:rPr>
          <w:rFonts w:cs="Arial"/>
          <w:bCs/>
          <w:szCs w:val="29"/>
          <w:lang w:val="en-US"/>
        </w:rPr>
        <w:t>.</w:t>
      </w:r>
    </w:p>
    <w:p w14:paraId="095E1FB3" w14:textId="77777777" w:rsidR="00B21755" w:rsidRPr="00DB6D42" w:rsidRDefault="00B32B9F" w:rsidP="00BB5FF5">
      <w:pPr>
        <w:spacing w:line="360" w:lineRule="auto"/>
        <w:jc w:val="both"/>
        <w:rPr>
          <w:rFonts w:cs="Arial"/>
          <w:bCs/>
          <w:szCs w:val="29"/>
          <w:lang w:val="en-US"/>
        </w:rPr>
      </w:pPr>
      <w:r w:rsidRPr="00DB6D42">
        <w:rPr>
          <w:rFonts w:cs="Arial"/>
          <w:bCs/>
          <w:szCs w:val="29"/>
          <w:lang w:val="en-US"/>
        </w:rPr>
        <w:t xml:space="preserve">Patients who did not tolerate treatment were withdrawn and received </w:t>
      </w:r>
      <w:r w:rsidR="00987841" w:rsidRPr="00DB6D42">
        <w:rPr>
          <w:rFonts w:cs="Arial"/>
          <w:bCs/>
          <w:szCs w:val="29"/>
          <w:lang w:val="en-US"/>
        </w:rPr>
        <w:t xml:space="preserve">standard NFX </w:t>
      </w:r>
      <w:r w:rsidRPr="00DB6D42">
        <w:rPr>
          <w:rFonts w:cs="Arial"/>
          <w:bCs/>
          <w:szCs w:val="29"/>
          <w:lang w:val="en-US"/>
        </w:rPr>
        <w:t>treatment.</w:t>
      </w:r>
      <w:r w:rsidR="00ED0F08" w:rsidRPr="00DB6D42">
        <w:rPr>
          <w:rFonts w:cs="Arial"/>
          <w:bCs/>
          <w:szCs w:val="29"/>
          <w:lang w:val="en-US"/>
        </w:rPr>
        <w:t xml:space="preserve"> A</w:t>
      </w:r>
      <w:r w:rsidRPr="00DB6D42">
        <w:rPr>
          <w:rFonts w:cs="Arial"/>
          <w:bCs/>
          <w:szCs w:val="29"/>
          <w:lang w:val="en-US"/>
        </w:rPr>
        <w:t xml:space="preserve">fter </w:t>
      </w:r>
      <w:r w:rsidR="00337E0E" w:rsidRPr="00DB6D42">
        <w:rPr>
          <w:rFonts w:cs="Arial"/>
          <w:bCs/>
          <w:szCs w:val="29"/>
          <w:lang w:val="en-US"/>
        </w:rPr>
        <w:t>unblinding</w:t>
      </w:r>
      <w:r w:rsidR="00FE755D" w:rsidRPr="00DB6D42">
        <w:rPr>
          <w:rFonts w:cs="Arial"/>
          <w:bCs/>
          <w:szCs w:val="29"/>
          <w:lang w:val="en-US"/>
        </w:rPr>
        <w:t xml:space="preserve"> at the end of the study</w:t>
      </w:r>
      <w:r w:rsidRPr="00DB6D42">
        <w:rPr>
          <w:rFonts w:cs="Arial"/>
          <w:bCs/>
          <w:szCs w:val="29"/>
          <w:lang w:val="en-US"/>
        </w:rPr>
        <w:t xml:space="preserve">, patients </w:t>
      </w:r>
      <w:r w:rsidR="000E50F1" w:rsidRPr="00DB6D42">
        <w:rPr>
          <w:rFonts w:cs="Arial"/>
          <w:bCs/>
          <w:szCs w:val="29"/>
          <w:lang w:val="en-US"/>
        </w:rPr>
        <w:t xml:space="preserve">in the placebo arm and those </w:t>
      </w:r>
      <w:r w:rsidRPr="00DB6D42">
        <w:rPr>
          <w:rFonts w:cs="Arial"/>
          <w:bCs/>
          <w:szCs w:val="29"/>
          <w:lang w:val="en-US"/>
        </w:rPr>
        <w:t xml:space="preserve">on E1224 </w:t>
      </w:r>
      <w:r w:rsidR="004A3DEA" w:rsidRPr="00DB6D42">
        <w:rPr>
          <w:rFonts w:cs="Arial"/>
          <w:bCs/>
          <w:szCs w:val="29"/>
          <w:lang w:val="en-US"/>
        </w:rPr>
        <w:t>with no</w:t>
      </w:r>
      <w:r w:rsidRPr="00DB6D42">
        <w:rPr>
          <w:rFonts w:cs="Arial"/>
          <w:bCs/>
          <w:szCs w:val="29"/>
          <w:lang w:val="en-US"/>
        </w:rPr>
        <w:t xml:space="preserve"> parasitological clearan</w:t>
      </w:r>
      <w:r w:rsidR="00C50938" w:rsidRPr="00DB6D42">
        <w:rPr>
          <w:rFonts w:cs="Arial"/>
          <w:bCs/>
          <w:szCs w:val="29"/>
          <w:lang w:val="en-US"/>
        </w:rPr>
        <w:t>ce</w:t>
      </w:r>
      <w:r w:rsidR="00987841" w:rsidRPr="00DB6D42">
        <w:rPr>
          <w:rFonts w:cs="Arial"/>
          <w:bCs/>
          <w:szCs w:val="29"/>
          <w:lang w:val="en-US"/>
        </w:rPr>
        <w:t xml:space="preserve"> </w:t>
      </w:r>
      <w:r w:rsidRPr="00DB6D42">
        <w:rPr>
          <w:rFonts w:cs="Arial"/>
          <w:bCs/>
          <w:szCs w:val="29"/>
          <w:lang w:val="en-US"/>
        </w:rPr>
        <w:t xml:space="preserve">were offered </w:t>
      </w:r>
      <w:r w:rsidR="00761A01" w:rsidRPr="00DB6D42">
        <w:rPr>
          <w:rFonts w:cs="Arial"/>
          <w:bCs/>
          <w:szCs w:val="29"/>
          <w:lang w:val="en-US"/>
        </w:rPr>
        <w:t xml:space="preserve">BZN </w:t>
      </w:r>
      <w:r w:rsidR="00D66008" w:rsidRPr="00DB6D42">
        <w:rPr>
          <w:rFonts w:cs="Arial"/>
          <w:bCs/>
          <w:szCs w:val="29"/>
          <w:lang w:val="en-US"/>
        </w:rPr>
        <w:t>treatment</w:t>
      </w:r>
      <w:r w:rsidR="006C116B" w:rsidRPr="00DB6D42">
        <w:rPr>
          <w:rFonts w:cs="Arial"/>
          <w:bCs/>
          <w:szCs w:val="29"/>
          <w:lang w:val="en-US"/>
        </w:rPr>
        <w:t xml:space="preserve">, whilst patients allocated to BZN who showed no parasitological clearance were offered NFX treatment. </w:t>
      </w:r>
    </w:p>
    <w:p w14:paraId="7AF2C7B4" w14:textId="77777777" w:rsidR="00B32B9F" w:rsidRPr="00DB6D42" w:rsidRDefault="00B21755" w:rsidP="00BB5FF5">
      <w:pPr>
        <w:spacing w:line="360" w:lineRule="auto"/>
        <w:jc w:val="both"/>
        <w:rPr>
          <w:rFonts w:cs="Arial"/>
          <w:bCs/>
          <w:szCs w:val="29"/>
          <w:lang w:val="en-US"/>
        </w:rPr>
      </w:pPr>
      <w:r w:rsidRPr="00DB6D42">
        <w:rPr>
          <w:rFonts w:cs="Arial"/>
          <w:bCs/>
          <w:color w:val="000000"/>
          <w:szCs w:val="29"/>
          <w:lang w:val="en-US"/>
        </w:rPr>
        <w:t xml:space="preserve">This study was implemented in accordance with Good Clinical Practice guidelines and the Declaration of Helsinki after the approval by the ethical committees of the participating institutions (Universidad Mayor San Simón, CEADES, Hospital </w:t>
      </w:r>
      <w:proofErr w:type="spellStart"/>
      <w:r w:rsidRPr="00DB6D42">
        <w:rPr>
          <w:rFonts w:cs="Arial"/>
          <w:bCs/>
          <w:color w:val="000000"/>
          <w:szCs w:val="29"/>
          <w:lang w:val="en-US"/>
        </w:rPr>
        <w:t>Clínic</w:t>
      </w:r>
      <w:proofErr w:type="spellEnd"/>
      <w:r w:rsidRPr="00DB6D42">
        <w:rPr>
          <w:rFonts w:cs="Arial"/>
          <w:bCs/>
          <w:color w:val="000000"/>
          <w:szCs w:val="29"/>
          <w:lang w:val="en-US"/>
        </w:rPr>
        <w:t xml:space="preserve"> Barcelona).</w:t>
      </w:r>
    </w:p>
    <w:p w14:paraId="22DE12EF" w14:textId="77777777" w:rsidR="00153E93" w:rsidRPr="00DB6D42" w:rsidRDefault="000D2C40" w:rsidP="00BB5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360" w:lineRule="auto"/>
        <w:jc w:val="both"/>
        <w:rPr>
          <w:rFonts w:cs="Arial"/>
          <w:b/>
          <w:bCs/>
          <w:color w:val="000000"/>
          <w:szCs w:val="29"/>
          <w:lang w:val="en-US"/>
        </w:rPr>
      </w:pPr>
      <w:r w:rsidRPr="00DB6D42">
        <w:rPr>
          <w:rFonts w:cs="Arial"/>
          <w:b/>
          <w:bCs/>
          <w:i/>
          <w:color w:val="000000"/>
          <w:szCs w:val="29"/>
          <w:lang w:val="en-US"/>
        </w:rPr>
        <w:t>Study participants</w:t>
      </w:r>
    </w:p>
    <w:p w14:paraId="3C892DFF" w14:textId="0F336310" w:rsidR="00153E93" w:rsidRPr="00DB6D42" w:rsidRDefault="00153E93" w:rsidP="00BB5FF5">
      <w:pPr>
        <w:spacing w:line="360" w:lineRule="auto"/>
        <w:jc w:val="both"/>
        <w:rPr>
          <w:lang w:val="en-US"/>
        </w:rPr>
      </w:pPr>
      <w:r w:rsidRPr="00DB6D42">
        <w:rPr>
          <w:lang w:val="en-US"/>
        </w:rPr>
        <w:t xml:space="preserve">Subjects eligible for </w:t>
      </w:r>
      <w:proofErr w:type="spellStart"/>
      <w:r w:rsidRPr="00DB6D42">
        <w:rPr>
          <w:lang w:val="en-US"/>
        </w:rPr>
        <w:t>random</w:t>
      </w:r>
      <w:r w:rsidR="009B4CCA" w:rsidRPr="00DB6D42">
        <w:rPr>
          <w:lang w:val="en-US"/>
        </w:rPr>
        <w:t>is</w:t>
      </w:r>
      <w:r w:rsidRPr="00DB6D42">
        <w:rPr>
          <w:lang w:val="en-US"/>
        </w:rPr>
        <w:t>ation</w:t>
      </w:r>
      <w:proofErr w:type="spellEnd"/>
      <w:r w:rsidRPr="00DB6D42">
        <w:rPr>
          <w:lang w:val="en-US"/>
        </w:rPr>
        <w:t xml:space="preserve"> were &gt;18 to &lt;50 years-old and weighed &gt;40 kg. Women could not be pregnant or breastfeeding, and were required to use 4-month non-hormonal contraception. Inclusion criteria were confirmed diagnosis of </w:t>
      </w:r>
      <w:r w:rsidRPr="00DB6D42">
        <w:rPr>
          <w:i/>
          <w:lang w:val="en-US"/>
        </w:rPr>
        <w:t xml:space="preserve">T. </w:t>
      </w:r>
      <w:proofErr w:type="spellStart"/>
      <w:r w:rsidRPr="00DB6D42">
        <w:rPr>
          <w:i/>
          <w:lang w:val="en-US"/>
        </w:rPr>
        <w:t>cruzi</w:t>
      </w:r>
      <w:proofErr w:type="spellEnd"/>
      <w:r w:rsidRPr="00DB6D42">
        <w:rPr>
          <w:lang w:val="en-US"/>
        </w:rPr>
        <w:t xml:space="preserve"> infection by two conventional serological tests and serial positive qualitative PCR (at </w:t>
      </w:r>
      <w:r w:rsidRPr="00DB6D42">
        <w:rPr>
          <w:lang w:val="en-US"/>
        </w:rPr>
        <w:lastRenderedPageBreak/>
        <w:t>least one of three samples collected over seven days). Included subjects had a normal screening ECG, and no contraindication to study drugs or any azole. They had not received prior BZN or NFX treatment, or systemic treatment with azoles, allopurinol, or any concomitant antimicrobial and immunosuppressant agents. Subjects who had signs and/or symptoms of chronic CD, acute or chronic health conditions, abnormal screening laboratory tests, or history of alcohol abuse or other drug addiction</w:t>
      </w:r>
      <w:r w:rsidR="0045288B" w:rsidRPr="00DB6D42">
        <w:rPr>
          <w:lang w:val="en-US"/>
        </w:rPr>
        <w:t xml:space="preserve"> were excluded</w:t>
      </w:r>
      <w:r w:rsidRPr="00DB6D42">
        <w:rPr>
          <w:lang w:val="en-US"/>
        </w:rPr>
        <w:t xml:space="preserve">. </w:t>
      </w:r>
    </w:p>
    <w:p w14:paraId="75B65AF0" w14:textId="06A0D3AD" w:rsidR="00153E93" w:rsidRPr="00DB6D42" w:rsidRDefault="00153E93" w:rsidP="00BB5FF5">
      <w:pPr>
        <w:spacing w:line="360" w:lineRule="auto"/>
        <w:jc w:val="both"/>
        <w:rPr>
          <w:lang w:val="en-US"/>
        </w:rPr>
      </w:pPr>
      <w:r w:rsidRPr="00DB6D42">
        <w:rPr>
          <w:rFonts w:cs="Arial"/>
          <w:bCs/>
          <w:color w:val="000000"/>
          <w:szCs w:val="29"/>
          <w:lang w:val="en-US"/>
        </w:rPr>
        <w:t xml:space="preserve">All patients were required to provide written informed consent. </w:t>
      </w:r>
    </w:p>
    <w:p w14:paraId="4CDDD3B9" w14:textId="77777777" w:rsidR="00663F1D" w:rsidRPr="00DB6D42" w:rsidRDefault="00A70549" w:rsidP="00BB5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360" w:lineRule="auto"/>
        <w:jc w:val="both"/>
        <w:rPr>
          <w:rFonts w:cs="Arial"/>
          <w:b/>
          <w:bCs/>
          <w:i/>
          <w:color w:val="000000"/>
          <w:szCs w:val="29"/>
          <w:lang w:val="en-US"/>
        </w:rPr>
      </w:pPr>
      <w:proofErr w:type="spellStart"/>
      <w:r w:rsidRPr="00DB6D42">
        <w:rPr>
          <w:rFonts w:cs="Arial"/>
          <w:b/>
          <w:bCs/>
          <w:i/>
          <w:color w:val="000000"/>
          <w:szCs w:val="29"/>
          <w:lang w:val="en-US"/>
        </w:rPr>
        <w:t>R</w:t>
      </w:r>
      <w:r w:rsidR="00153E93" w:rsidRPr="00DB6D42">
        <w:rPr>
          <w:rFonts w:cs="Arial"/>
          <w:b/>
          <w:bCs/>
          <w:i/>
          <w:color w:val="000000"/>
          <w:szCs w:val="29"/>
          <w:lang w:val="en-US"/>
        </w:rPr>
        <w:t>andomis</w:t>
      </w:r>
      <w:r w:rsidRPr="00DB6D42">
        <w:rPr>
          <w:rFonts w:cs="Arial"/>
          <w:b/>
          <w:bCs/>
          <w:i/>
          <w:color w:val="000000"/>
          <w:szCs w:val="29"/>
          <w:lang w:val="en-US"/>
        </w:rPr>
        <w:t>ation</w:t>
      </w:r>
      <w:proofErr w:type="spellEnd"/>
      <w:r w:rsidRPr="00DB6D42">
        <w:rPr>
          <w:rFonts w:cs="Arial"/>
          <w:b/>
          <w:bCs/>
          <w:i/>
          <w:color w:val="000000"/>
          <w:szCs w:val="29"/>
          <w:lang w:val="en-US"/>
        </w:rPr>
        <w:t xml:space="preserve"> and </w:t>
      </w:r>
      <w:r w:rsidR="00153E93" w:rsidRPr="00DB6D42">
        <w:rPr>
          <w:rFonts w:cs="Arial"/>
          <w:b/>
          <w:bCs/>
          <w:i/>
          <w:color w:val="000000"/>
          <w:szCs w:val="29"/>
          <w:lang w:val="en-US"/>
        </w:rPr>
        <w:t>masking</w:t>
      </w:r>
    </w:p>
    <w:p w14:paraId="75102BA8" w14:textId="2C3D90EF" w:rsidR="00A70549" w:rsidRPr="00DB6D42" w:rsidRDefault="00A70549" w:rsidP="00BB5FF5">
      <w:pPr>
        <w:spacing w:line="360" w:lineRule="auto"/>
        <w:jc w:val="both"/>
        <w:rPr>
          <w:rFonts w:cs="Arial"/>
          <w:bCs/>
          <w:szCs w:val="29"/>
          <w:lang w:val="en-US"/>
        </w:rPr>
      </w:pPr>
      <w:r w:rsidRPr="00DB6D42">
        <w:rPr>
          <w:rFonts w:cs="Arial"/>
          <w:bCs/>
          <w:szCs w:val="29"/>
          <w:lang w:val="en-US"/>
        </w:rPr>
        <w:t xml:space="preserve">A computer generated </w:t>
      </w:r>
      <w:proofErr w:type="spellStart"/>
      <w:r w:rsidRPr="00DB6D42">
        <w:rPr>
          <w:rFonts w:cs="Arial"/>
          <w:bCs/>
          <w:szCs w:val="29"/>
          <w:lang w:val="en-US"/>
        </w:rPr>
        <w:t>randomisation</w:t>
      </w:r>
      <w:proofErr w:type="spellEnd"/>
      <w:r w:rsidRPr="00DB6D42">
        <w:rPr>
          <w:rFonts w:cs="Arial"/>
          <w:bCs/>
          <w:szCs w:val="29"/>
          <w:lang w:val="en-US"/>
        </w:rPr>
        <w:t xml:space="preserve"> list was prepared by an external provider. The list was stratified by center and used a block size of 10. Treatment packages for the three E1224 regimen and placebo </w:t>
      </w:r>
      <w:r w:rsidR="0045288B" w:rsidRPr="00DB6D42">
        <w:rPr>
          <w:rFonts w:cs="Arial"/>
          <w:bCs/>
          <w:szCs w:val="29"/>
          <w:lang w:val="en-US"/>
        </w:rPr>
        <w:t xml:space="preserve">arms </w:t>
      </w:r>
      <w:r w:rsidRPr="00DB6D42">
        <w:rPr>
          <w:rFonts w:cs="Arial"/>
          <w:bCs/>
          <w:szCs w:val="29"/>
          <w:lang w:val="en-US"/>
        </w:rPr>
        <w:t>were prepared and labeled with numbers corresponding to the randomization list.</w:t>
      </w:r>
      <w:r w:rsidR="00153E93" w:rsidRPr="00DB6D42">
        <w:rPr>
          <w:rFonts w:cs="Arial"/>
          <w:bCs/>
          <w:szCs w:val="29"/>
          <w:lang w:val="en-US"/>
        </w:rPr>
        <w:t xml:space="preserve"> Placebo tablets were identical to E1224 tablets. Each center received a list of randomization numbers and the corresponding treatment packages. After confirmation that the patient met all entry criteria, the next available randomization number in the corresponding center (in chronological order) was assigned by the study pharmacist, who then delivered the corresponding package for the blinded arms of the study (E1224 or placebo) or prepared the package with an adequate number of tablets for the BZN arm and identified it with the patient’s number. Study subjects, investigators, medical and nursing team remained blinded to treatment allocation. All </w:t>
      </w:r>
      <w:r w:rsidR="004C1AE1" w:rsidRPr="00DB6D42">
        <w:rPr>
          <w:lang w:val="en-US"/>
        </w:rPr>
        <w:t xml:space="preserve">parasitological, </w:t>
      </w:r>
      <w:r w:rsidR="00153E93" w:rsidRPr="00DB6D42">
        <w:rPr>
          <w:rFonts w:cs="Arial"/>
          <w:bCs/>
          <w:szCs w:val="29"/>
          <w:lang w:val="en-US"/>
        </w:rPr>
        <w:t>laboratory testing and statistical analyses was done blinded to treatment allocation.</w:t>
      </w:r>
    </w:p>
    <w:p w14:paraId="10919171" w14:textId="2ADE383D" w:rsidR="00B32B9F" w:rsidRPr="00DB6D42" w:rsidRDefault="00B21755" w:rsidP="00BB5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360" w:lineRule="auto"/>
        <w:jc w:val="both"/>
        <w:rPr>
          <w:rFonts w:cs="Arial"/>
          <w:b/>
          <w:bCs/>
          <w:i/>
          <w:color w:val="000000"/>
          <w:szCs w:val="29"/>
          <w:lang w:val="en-US"/>
        </w:rPr>
      </w:pPr>
      <w:r w:rsidRPr="00DB6D42">
        <w:rPr>
          <w:rFonts w:cs="Arial"/>
          <w:b/>
          <w:bCs/>
          <w:i/>
          <w:color w:val="000000"/>
          <w:szCs w:val="29"/>
          <w:lang w:val="en-US"/>
        </w:rPr>
        <w:t>Procedures</w:t>
      </w:r>
    </w:p>
    <w:p w14:paraId="3F800480" w14:textId="509CECA2" w:rsidR="000730E5" w:rsidRPr="00DB6D42" w:rsidRDefault="00477E53" w:rsidP="00BB5FF5">
      <w:pPr>
        <w:spacing w:line="360" w:lineRule="auto"/>
        <w:jc w:val="both"/>
        <w:rPr>
          <w:lang w:val="en-US"/>
        </w:rPr>
      </w:pPr>
      <w:r w:rsidRPr="00DB6D42">
        <w:rPr>
          <w:lang w:val="en-US"/>
        </w:rPr>
        <w:t>The PCR assay method was selected based on the results of the multi-</w:t>
      </w:r>
      <w:r w:rsidR="00DB5479" w:rsidRPr="00DB6D42">
        <w:rPr>
          <w:lang w:val="en-US"/>
        </w:rPr>
        <w:t>center</w:t>
      </w:r>
      <w:r w:rsidRPr="00DB6D42">
        <w:rPr>
          <w:lang w:val="en-US"/>
        </w:rPr>
        <w:t xml:space="preserve"> study for the standardization and laboratory validation of qualitative PCR testing for </w:t>
      </w:r>
      <w:r w:rsidRPr="00DB6D42">
        <w:rPr>
          <w:i/>
          <w:lang w:val="en-US"/>
        </w:rPr>
        <w:t>T. cruzi</w:t>
      </w:r>
      <w:r w:rsidR="00E91F99" w:rsidRPr="00DB6D42">
        <w:rPr>
          <w:lang w:val="en-US"/>
        </w:rPr>
        <w:t>.</w:t>
      </w:r>
      <w:r w:rsidR="0027341A" w:rsidRPr="00DB6D42">
        <w:rPr>
          <w:vertAlign w:val="superscript"/>
          <w:lang w:val="en-US"/>
        </w:rPr>
        <w:t>1</w:t>
      </w:r>
      <w:r w:rsidR="00681C64" w:rsidRPr="00DB6D42">
        <w:rPr>
          <w:vertAlign w:val="superscript"/>
          <w:lang w:val="en-US"/>
        </w:rPr>
        <w:t>2</w:t>
      </w:r>
      <w:r w:rsidR="00E91F99" w:rsidRPr="00DB6D42">
        <w:rPr>
          <w:lang w:val="en-US"/>
        </w:rPr>
        <w:t xml:space="preserve"> A</w:t>
      </w:r>
      <w:r w:rsidRPr="00DB6D42">
        <w:rPr>
          <w:lang w:val="en-US"/>
        </w:rPr>
        <w:t xml:space="preserve"> multiplex </w:t>
      </w:r>
      <w:r w:rsidR="008F6B1B" w:rsidRPr="00DB6D42">
        <w:rPr>
          <w:lang w:val="en-US"/>
        </w:rPr>
        <w:t xml:space="preserve">TaqMan </w:t>
      </w:r>
      <w:r w:rsidRPr="00DB6D42">
        <w:rPr>
          <w:lang w:val="en-US"/>
        </w:rPr>
        <w:t>Rea</w:t>
      </w:r>
      <w:r w:rsidR="00E91F99" w:rsidRPr="00DB6D42">
        <w:rPr>
          <w:lang w:val="en-US"/>
        </w:rPr>
        <w:t>l-Time quantitative PCR assay</w:t>
      </w:r>
      <w:r w:rsidRPr="00DB6D42">
        <w:rPr>
          <w:lang w:val="en-US"/>
        </w:rPr>
        <w:t xml:space="preserve">, aiming to quantify </w:t>
      </w:r>
      <w:r w:rsidRPr="00DB6D42">
        <w:rPr>
          <w:i/>
          <w:lang w:val="en-US"/>
        </w:rPr>
        <w:t xml:space="preserve">T. </w:t>
      </w:r>
      <w:proofErr w:type="spellStart"/>
      <w:r w:rsidRPr="00DB6D42">
        <w:rPr>
          <w:i/>
          <w:lang w:val="en-US"/>
        </w:rPr>
        <w:t>cruzi</w:t>
      </w:r>
      <w:proofErr w:type="spellEnd"/>
      <w:r w:rsidRPr="00DB6D42">
        <w:rPr>
          <w:lang w:val="en-US"/>
        </w:rPr>
        <w:t xml:space="preserve"> satellite DNA </w:t>
      </w:r>
      <w:r w:rsidR="00291FE2" w:rsidRPr="00DB6D42">
        <w:rPr>
          <w:lang w:val="en-US"/>
        </w:rPr>
        <w:t>and</w:t>
      </w:r>
      <w:r w:rsidRPr="00DB6D42">
        <w:rPr>
          <w:lang w:val="en-US"/>
        </w:rPr>
        <w:t xml:space="preserve"> an internal amplification control in a single-tube reaction</w:t>
      </w:r>
      <w:r w:rsidR="00291FE2" w:rsidRPr="00DB6D42">
        <w:rPr>
          <w:lang w:val="en-US"/>
        </w:rPr>
        <w:t>,</w:t>
      </w:r>
      <w:r w:rsidRPr="00DB6D42">
        <w:rPr>
          <w:lang w:val="en-US"/>
        </w:rPr>
        <w:t xml:space="preserve"> </w:t>
      </w:r>
      <w:r w:rsidR="00E91F99" w:rsidRPr="00DB6D42">
        <w:rPr>
          <w:lang w:val="en-US"/>
        </w:rPr>
        <w:t xml:space="preserve">was further developed and validated. The method limit of detection </w:t>
      </w:r>
      <w:r w:rsidR="00DB6D42">
        <w:rPr>
          <w:lang w:val="en-US"/>
        </w:rPr>
        <w:t>(</w:t>
      </w:r>
      <w:proofErr w:type="spellStart"/>
      <w:r w:rsidR="00DB6D42">
        <w:rPr>
          <w:lang w:val="en-US"/>
        </w:rPr>
        <w:t>LoD</w:t>
      </w:r>
      <w:proofErr w:type="spellEnd"/>
      <w:r w:rsidR="00DB6D42">
        <w:rPr>
          <w:lang w:val="en-US"/>
        </w:rPr>
        <w:t xml:space="preserve">) </w:t>
      </w:r>
      <w:r w:rsidR="00E91F99" w:rsidRPr="00DB6D42">
        <w:rPr>
          <w:lang w:val="en-US"/>
        </w:rPr>
        <w:t>is 0</w:t>
      </w:r>
      <w:r w:rsidR="003C70DE" w:rsidRPr="00DB6D42">
        <w:rPr>
          <w:lang w:val="en-US"/>
        </w:rPr>
        <w:t>·</w:t>
      </w:r>
      <w:r w:rsidR="00E91F99" w:rsidRPr="00DB6D42">
        <w:rPr>
          <w:lang w:val="en-US"/>
        </w:rPr>
        <w:t>6979 par</w:t>
      </w:r>
      <w:r w:rsidR="00B2688F" w:rsidRPr="00DB6D42">
        <w:rPr>
          <w:lang w:val="en-US"/>
        </w:rPr>
        <w:t>asite</w:t>
      </w:r>
      <w:r w:rsidR="00E91F99" w:rsidRPr="00DB6D42">
        <w:rPr>
          <w:lang w:val="en-US"/>
        </w:rPr>
        <w:t xml:space="preserve"> </w:t>
      </w:r>
      <w:r w:rsidR="00AF1082" w:rsidRPr="00DB6D42">
        <w:rPr>
          <w:lang w:val="en-US"/>
        </w:rPr>
        <w:t>e</w:t>
      </w:r>
      <w:r w:rsidR="00E91F99" w:rsidRPr="00DB6D42">
        <w:rPr>
          <w:lang w:val="en-US"/>
        </w:rPr>
        <w:t>q</w:t>
      </w:r>
      <w:r w:rsidR="00AF1082" w:rsidRPr="00DB6D42">
        <w:rPr>
          <w:lang w:val="en-US"/>
        </w:rPr>
        <w:t>uivalents (</w:t>
      </w:r>
      <w:proofErr w:type="spellStart"/>
      <w:r w:rsidR="00B2688F" w:rsidRPr="00DB6D42">
        <w:rPr>
          <w:lang w:val="en-US"/>
        </w:rPr>
        <w:t>p</w:t>
      </w:r>
      <w:r w:rsidR="004A1571" w:rsidRPr="00DB6D42">
        <w:rPr>
          <w:lang w:val="en-US"/>
        </w:rPr>
        <w:t>E</w:t>
      </w:r>
      <w:r w:rsidR="00E91F99" w:rsidRPr="00DB6D42">
        <w:rPr>
          <w:lang w:val="en-US"/>
        </w:rPr>
        <w:t>q</w:t>
      </w:r>
      <w:proofErr w:type="spellEnd"/>
      <w:r w:rsidR="00AF1082" w:rsidRPr="00DB6D42">
        <w:rPr>
          <w:lang w:val="en-US"/>
        </w:rPr>
        <w:t>)</w:t>
      </w:r>
      <w:r w:rsidR="00E91F99" w:rsidRPr="00DB6D42">
        <w:rPr>
          <w:lang w:val="en-US"/>
        </w:rPr>
        <w:t xml:space="preserve">/mL and limit of quantification </w:t>
      </w:r>
      <w:r w:rsidR="00DB6D42">
        <w:rPr>
          <w:lang w:val="en-US"/>
        </w:rPr>
        <w:t>(</w:t>
      </w:r>
      <w:proofErr w:type="spellStart"/>
      <w:r w:rsidR="00DB6D42">
        <w:rPr>
          <w:lang w:val="en-US"/>
        </w:rPr>
        <w:t>LoQ</w:t>
      </w:r>
      <w:proofErr w:type="spellEnd"/>
      <w:r w:rsidR="00DB6D42">
        <w:rPr>
          <w:lang w:val="en-US"/>
        </w:rPr>
        <w:t xml:space="preserve">) </w:t>
      </w:r>
      <w:r w:rsidR="00E94AAB" w:rsidRPr="00DB6D42">
        <w:rPr>
          <w:lang w:val="en-US"/>
        </w:rPr>
        <w:t>is</w:t>
      </w:r>
      <w:r w:rsidR="004A1571" w:rsidRPr="00DB6D42">
        <w:rPr>
          <w:lang w:val="en-US"/>
        </w:rPr>
        <w:t xml:space="preserve"> </w:t>
      </w:r>
      <w:r w:rsidR="00E91F99" w:rsidRPr="00DB6D42">
        <w:rPr>
          <w:lang w:val="en-US"/>
        </w:rPr>
        <w:t>1</w:t>
      </w:r>
      <w:r w:rsidR="003C70DE" w:rsidRPr="00DB6D42">
        <w:rPr>
          <w:lang w:val="en-US"/>
        </w:rPr>
        <w:t>·</w:t>
      </w:r>
      <w:r w:rsidR="00E91F99" w:rsidRPr="00DB6D42">
        <w:rPr>
          <w:lang w:val="en-US"/>
        </w:rPr>
        <w:t xml:space="preserve">531 </w:t>
      </w:r>
      <w:proofErr w:type="spellStart"/>
      <w:r w:rsidR="00B2688F" w:rsidRPr="00DB6D42">
        <w:rPr>
          <w:lang w:val="en-US"/>
        </w:rPr>
        <w:t>p</w:t>
      </w:r>
      <w:r w:rsidR="004A1571" w:rsidRPr="00DB6D42">
        <w:rPr>
          <w:lang w:val="en-US"/>
        </w:rPr>
        <w:t>E</w:t>
      </w:r>
      <w:r w:rsidR="00E91F99" w:rsidRPr="00DB6D42">
        <w:rPr>
          <w:lang w:val="en-US"/>
        </w:rPr>
        <w:t>q</w:t>
      </w:r>
      <w:proofErr w:type="spellEnd"/>
      <w:r w:rsidR="00E91F99" w:rsidRPr="00DB6D42">
        <w:rPr>
          <w:lang w:val="en-US"/>
        </w:rPr>
        <w:t>/mL.</w:t>
      </w:r>
      <w:r w:rsidR="00E41460" w:rsidRPr="00DB6D42">
        <w:rPr>
          <w:lang w:val="en-US"/>
        </w:rPr>
        <w:fldChar w:fldCharType="begin" w:fldLock="1"/>
      </w:r>
      <w:r w:rsidR="0074261B" w:rsidRPr="00DB6D42">
        <w:rPr>
          <w:lang w:val="en-US"/>
        </w:rPr>
        <w:instrText>ADDIN CSL_CITATION { "citationItems" : [ { "id" : "ITEM-1", "itemData" : { "DOI" : "10.1371/journal.pntd.0002000", "ISSN" : "1935-2735", "PMID" : "23350002", "abstract" : "The analytical validation of sensitive, accurate and standardized Real-Time PCR methods for Trypanosoma cruzi quantification is crucial to provide a reliable laboratory tool for diagnosis of recent infections as well as for monitoring treatment efficacy.", "author" : [ { "dropping-particle" : "", "family" : "Duffy", "given" : "Tomas", "non-dropping-particle" : "", "parse-names" : false, "suffix" : "" }, { "dropping-particle" : "", "family" : "Cura", "given" : "Carolina I", "non-dropping-particle" : "", "parse-names" : false, "suffix" : "" }, { "dropping-particle" : "", "family" : "Ramirez", "given" : "Juan C", "non-dropping-particle" : "", "parse-names" : false, "suffix" : "" }, { "dropping-particle" : "", "family" : "Abate", "given" : "Teresa", "non-dropping-particle" : "", "parse-names" : false, "suffix" : "" }, { "dropping-particle" : "", "family" : "Cayo", "given" : "Nelly M", "non-dropping-particle" : "", "parse-names" : false, "suffix" : "" }, { "dropping-particle" : "", "family" : "Parrado", "given" : "Rudy", "non-dropping-particle" : "", "parse-names" : false, "suffix" : "" }, { "dropping-particle" : "", "family" : "Bello", "given" : "Zoraida Diaz", "non-dropping-particle" : "", "parse-names" : false, "suffix" : "" }, { "dropping-particle" : "", "family" : "Velazquez", "given" : "Elsa", "non-dropping-particle" : "", "parse-names" : false, "suffix" : "" }, { "dropping-particle" : "", "family" : "Mu\u00f1oz-Calderon", "given" : "Arturo", "non-dropping-particle" : "", "parse-names" : false, "suffix" : "" }, { "dropping-particle" : "", "family" : "Juiz", "given" : "Natalia a", "non-dropping-particle" : "", "parse-names" : false, "suffix" : "" }, { "dropping-particle" : "", "family" : "Basile", "given" : "Joaqu\u00edn", "non-dropping-particle" : "", "parse-names" : false, "suffix" : "" }, { "dropping-particle" : "", "family" : "Garcia", "given" : "Lineth", "non-dropping-particle" : "", "parse-names" : false, "suffix" : "" }, { "dropping-particle" : "", "family" : "Riarte", "given" : "Adelina", "non-dropping-particle" : "", "parse-names" : false, "suffix" : "" }, { "dropping-particle" : "", "family" : "Nasser", "given" : "Julio R", "non-dropping-particle" : "", "parse-names" : false, "suffix" : "" }, { "dropping-particle" : "", "family" : "Ocampo", "given" : "Susana B", "non-dropping-particle" : "", "parse-names" : false, "suffix" : "" }, { "dropping-particle" : "", "family" : "Yadon", "given" : "Zaida E", "non-dropping-particle" : "", "parse-names" : false, "suffix" : "" }, { "dropping-particle" : "", "family" : "Torrico", "given" : "Faustino", "non-dropping-particle" : "", "parse-names" : false, "suffix" : "" }, { "dropping-particle" : "", "family" : "Noya", "given" : "Belkisyole Alarc\u00f3n", "non-dropping-particle" : "de", "parse-names" : false, "suffix" : "" }, { "dropping-particle" : "", "family" : "Ribeiro", "given" : "Isabela", "non-dropping-particle" : "", "parse-names" : false, "suffix" : "" }, { "dropping-particle" : "", "family" : "Schijman", "given" : "Alejandro G", "non-dropping-particle" : "", "parse-names" : false, "suffix" : "" } ], "container-title" : "PLoS neglected tropical diseases", "id" : "ITEM-1", "issue" : "1", "issued" : { "date-parts" : [ [ "2013", "1" ] ] }, "page" : "e2000", "title" : "Analytical performance of a multiplex Real-Time PCR assay using TaqMan probes for quantification of Trypanosoma cruzi satellite DNA in blood samples.", "type" : "article-journal", "volume" : "7" }, "uris" : [ "http://www.mendeley.com/documents/?uuid=e46b32c0-3a46-4f56-a76b-80004a2f8359" ] } ], "mendeley" : { "formattedCitation" : "&lt;sup&gt;24&lt;/sup&gt;", "plainTextFormattedCitation" : "24", "previouslyFormattedCitation" : "&lt;sup&gt;24&lt;/sup&gt;" }, "properties" : { "noteIndex" : 0 }, "schema" : "https://github.com/citation-style-language/schema/raw/master/csl-citation.json" }</w:instrText>
      </w:r>
      <w:r w:rsidR="00E41460" w:rsidRPr="00DB6D42">
        <w:rPr>
          <w:lang w:val="en-US"/>
        </w:rPr>
        <w:fldChar w:fldCharType="separate"/>
      </w:r>
      <w:r w:rsidR="00C46D06" w:rsidRPr="00DB6D42">
        <w:rPr>
          <w:noProof/>
          <w:vertAlign w:val="superscript"/>
          <w:lang w:val="en-US"/>
        </w:rPr>
        <w:t>1</w:t>
      </w:r>
      <w:r w:rsidR="00681C64" w:rsidRPr="00DB6D42">
        <w:rPr>
          <w:noProof/>
          <w:vertAlign w:val="superscript"/>
          <w:lang w:val="en-US"/>
        </w:rPr>
        <w:t>3</w:t>
      </w:r>
      <w:r w:rsidR="00E41460" w:rsidRPr="00DB6D42">
        <w:rPr>
          <w:lang w:val="en-US"/>
        </w:rPr>
        <w:fldChar w:fldCharType="end"/>
      </w:r>
      <w:r w:rsidR="0039557C" w:rsidRPr="00DB6D42">
        <w:rPr>
          <w:lang w:val="en-US"/>
        </w:rPr>
        <w:t xml:space="preserve"> </w:t>
      </w:r>
      <w:r w:rsidR="008232E5" w:rsidRPr="00DB6D42">
        <w:rPr>
          <w:lang w:val="en-US"/>
        </w:rPr>
        <w:t>Each PCR experiment included p</w:t>
      </w:r>
      <w:r w:rsidR="0039557C" w:rsidRPr="00DB6D42">
        <w:rPr>
          <w:lang w:val="en-US"/>
        </w:rPr>
        <w:t xml:space="preserve">ositive and negative controls. External quality control </w:t>
      </w:r>
      <w:r w:rsidR="00FF3CC4" w:rsidRPr="00DB6D42">
        <w:rPr>
          <w:lang w:val="en-US"/>
        </w:rPr>
        <w:t xml:space="preserve">panels </w:t>
      </w:r>
      <w:r w:rsidR="0039557C" w:rsidRPr="00DB6D42">
        <w:rPr>
          <w:lang w:val="en-US"/>
        </w:rPr>
        <w:t>for PCR w</w:t>
      </w:r>
      <w:r w:rsidR="00FF3CC4" w:rsidRPr="00DB6D42">
        <w:rPr>
          <w:lang w:val="en-US"/>
        </w:rPr>
        <w:t xml:space="preserve">ere </w:t>
      </w:r>
      <w:r w:rsidR="000E50F1" w:rsidRPr="00DB6D42">
        <w:rPr>
          <w:lang w:val="en-US"/>
        </w:rPr>
        <w:t xml:space="preserve">evaluated </w:t>
      </w:r>
      <w:r w:rsidR="00FF3CC4" w:rsidRPr="00DB6D42">
        <w:rPr>
          <w:lang w:val="en-US"/>
        </w:rPr>
        <w:t xml:space="preserve">during the study period, </w:t>
      </w:r>
      <w:r w:rsidR="0039557C" w:rsidRPr="00DB6D42">
        <w:rPr>
          <w:lang w:val="en-US"/>
        </w:rPr>
        <w:t xml:space="preserve">using blinded seronegative blood samples spiked with serial </w:t>
      </w:r>
      <w:r w:rsidR="00FF3CC4" w:rsidRPr="00DB6D42">
        <w:rPr>
          <w:lang w:val="en-US"/>
        </w:rPr>
        <w:t xml:space="preserve">dilutions </w:t>
      </w:r>
      <w:r w:rsidR="0039557C" w:rsidRPr="00DB6D42">
        <w:rPr>
          <w:lang w:val="en-US"/>
        </w:rPr>
        <w:t xml:space="preserve">of cultured </w:t>
      </w:r>
      <w:r w:rsidR="0039557C" w:rsidRPr="00DB6D42">
        <w:rPr>
          <w:i/>
          <w:lang w:val="en-US"/>
        </w:rPr>
        <w:t>T.</w:t>
      </w:r>
      <w:r w:rsidR="002B1385" w:rsidRPr="00DB6D42">
        <w:rPr>
          <w:i/>
          <w:lang w:val="en-US"/>
        </w:rPr>
        <w:t xml:space="preserve"> </w:t>
      </w:r>
      <w:proofErr w:type="spellStart"/>
      <w:r w:rsidR="0039557C" w:rsidRPr="00DB6D42">
        <w:rPr>
          <w:i/>
          <w:lang w:val="en-US"/>
        </w:rPr>
        <w:t>cruzi</w:t>
      </w:r>
      <w:proofErr w:type="spellEnd"/>
      <w:r w:rsidR="000E03BC" w:rsidRPr="00DB6D42">
        <w:rPr>
          <w:lang w:val="en-US"/>
        </w:rPr>
        <w:t>.</w:t>
      </w:r>
      <w:r w:rsidR="004C1AE1" w:rsidRPr="00DB6D42">
        <w:rPr>
          <w:lang w:val="en-US"/>
        </w:rPr>
        <w:t xml:space="preserve"> </w:t>
      </w:r>
      <w:r w:rsidR="000730E5" w:rsidRPr="00DB6D42">
        <w:rPr>
          <w:lang w:val="en-US"/>
        </w:rPr>
        <w:t xml:space="preserve">PCR positivity was defined as a positive result in at least one of the replicates of the three different samples. </w:t>
      </w:r>
    </w:p>
    <w:p w14:paraId="10E28D1A" w14:textId="34F796E9" w:rsidR="00E91F99" w:rsidRPr="00DB6D42" w:rsidRDefault="00AF6095" w:rsidP="00BB5FF5">
      <w:pPr>
        <w:spacing w:line="360" w:lineRule="auto"/>
        <w:jc w:val="both"/>
        <w:rPr>
          <w:lang w:val="en-US"/>
        </w:rPr>
      </w:pPr>
      <w:r w:rsidRPr="00DB6D42">
        <w:rPr>
          <w:lang w:val="en-US"/>
        </w:rPr>
        <w:lastRenderedPageBreak/>
        <w:t>For the serological diagnosis</w:t>
      </w:r>
      <w:r w:rsidR="00ED0F08" w:rsidRPr="00DB6D42">
        <w:rPr>
          <w:lang w:val="en-US"/>
        </w:rPr>
        <w:t xml:space="preserve">, </w:t>
      </w:r>
      <w:r w:rsidRPr="00DB6D42">
        <w:rPr>
          <w:lang w:val="en-US"/>
        </w:rPr>
        <w:t>two enzyme linked immunosorbent assays (ELISA</w:t>
      </w:r>
      <w:r w:rsidR="00E94AAB" w:rsidRPr="00DB6D42">
        <w:rPr>
          <w:lang w:val="en-US"/>
        </w:rPr>
        <w:t>)</w:t>
      </w:r>
      <w:r w:rsidR="008232E5" w:rsidRPr="00DB6D42">
        <w:rPr>
          <w:lang w:val="en-US"/>
        </w:rPr>
        <w:t xml:space="preserve"> </w:t>
      </w:r>
      <w:r w:rsidR="00ED0F08" w:rsidRPr="00DB6D42">
        <w:rPr>
          <w:lang w:val="en-US"/>
        </w:rPr>
        <w:t xml:space="preserve">were used, </w:t>
      </w:r>
      <w:r w:rsidRPr="00DB6D42">
        <w:rPr>
          <w:lang w:val="en-US"/>
        </w:rPr>
        <w:t xml:space="preserve">one </w:t>
      </w:r>
      <w:r w:rsidR="00ED0F08" w:rsidRPr="00DB6D42">
        <w:rPr>
          <w:lang w:val="en-US"/>
        </w:rPr>
        <w:t>based on</w:t>
      </w:r>
      <w:r w:rsidRPr="00DB6D42">
        <w:rPr>
          <w:lang w:val="en-US"/>
        </w:rPr>
        <w:t xml:space="preserve"> recombinant antigen (</w:t>
      </w:r>
      <w:proofErr w:type="spellStart"/>
      <w:r w:rsidR="00177B29" w:rsidRPr="00DB6D42">
        <w:rPr>
          <w:lang w:val="en-US"/>
        </w:rPr>
        <w:t>Chagatest</w:t>
      </w:r>
      <w:proofErr w:type="spellEnd"/>
      <w:r w:rsidR="00ED0F08" w:rsidRPr="00DB6D42">
        <w:rPr>
          <w:lang w:val="en-US"/>
        </w:rPr>
        <w:t xml:space="preserve"> </w:t>
      </w:r>
      <w:r w:rsidR="00177B29" w:rsidRPr="00DB6D42">
        <w:rPr>
          <w:lang w:val="en-US"/>
        </w:rPr>
        <w:t xml:space="preserve">ELISA </w:t>
      </w:r>
      <w:proofErr w:type="spellStart"/>
      <w:r w:rsidR="00177B29" w:rsidRPr="00DB6D42">
        <w:rPr>
          <w:lang w:val="en-US"/>
        </w:rPr>
        <w:t>recombinante</w:t>
      </w:r>
      <w:proofErr w:type="spellEnd"/>
      <w:r w:rsidR="00177B29" w:rsidRPr="00DB6D42">
        <w:rPr>
          <w:lang w:val="en-US"/>
        </w:rPr>
        <w:t xml:space="preserve"> Wiener Lab</w:t>
      </w:r>
      <w:r w:rsidRPr="00DB6D42">
        <w:rPr>
          <w:lang w:val="en-US"/>
        </w:rPr>
        <w:t xml:space="preserve">) and another </w:t>
      </w:r>
      <w:r w:rsidR="00ED0F08" w:rsidRPr="00DB6D42">
        <w:rPr>
          <w:lang w:val="en-US"/>
        </w:rPr>
        <w:t>on</w:t>
      </w:r>
      <w:r w:rsidRPr="00DB6D42">
        <w:rPr>
          <w:lang w:val="en-US"/>
        </w:rPr>
        <w:t xml:space="preserve"> a crude antigen (</w:t>
      </w:r>
      <w:proofErr w:type="spellStart"/>
      <w:r w:rsidRPr="00DB6D42">
        <w:rPr>
          <w:lang w:val="en-US"/>
        </w:rPr>
        <w:t>Chagatest</w:t>
      </w:r>
      <w:proofErr w:type="spellEnd"/>
      <w:r w:rsidRPr="00DB6D42">
        <w:rPr>
          <w:lang w:val="en-US"/>
        </w:rPr>
        <w:t xml:space="preserve"> ELISA </w:t>
      </w:r>
      <w:proofErr w:type="spellStart"/>
      <w:r w:rsidRPr="00DB6D42">
        <w:rPr>
          <w:lang w:val="en-US"/>
        </w:rPr>
        <w:t>lisado</w:t>
      </w:r>
      <w:proofErr w:type="spellEnd"/>
      <w:r w:rsidRPr="00DB6D42">
        <w:rPr>
          <w:lang w:val="en-US"/>
        </w:rPr>
        <w:t>, Wiener)</w:t>
      </w:r>
      <w:r w:rsidR="006C116B" w:rsidRPr="00DB6D42">
        <w:rPr>
          <w:lang w:val="en-US"/>
        </w:rPr>
        <w:t>.</w:t>
      </w:r>
      <w:r w:rsidR="004C1AE1" w:rsidRPr="00DB6D42">
        <w:rPr>
          <w:lang w:val="en-US"/>
        </w:rPr>
        <w:t xml:space="preserve"> </w:t>
      </w:r>
      <w:r w:rsidR="00E91F99" w:rsidRPr="00DB6D42">
        <w:rPr>
          <w:lang w:val="en-US"/>
        </w:rPr>
        <w:t>A highly sensitive and specific chem</w:t>
      </w:r>
      <w:r w:rsidR="005177E1" w:rsidRPr="00DB6D42">
        <w:rPr>
          <w:lang w:val="en-US"/>
        </w:rPr>
        <w:t>i</w:t>
      </w:r>
      <w:r w:rsidR="00E91F99" w:rsidRPr="00DB6D42">
        <w:rPr>
          <w:lang w:val="en-US"/>
        </w:rPr>
        <w:t xml:space="preserve">luminescent ELISA </w:t>
      </w:r>
      <w:r w:rsidR="005177E1" w:rsidRPr="00DB6D42">
        <w:rPr>
          <w:lang w:val="en-US"/>
        </w:rPr>
        <w:t>(</w:t>
      </w:r>
      <w:r w:rsidR="00F96C82" w:rsidRPr="00DB6D42">
        <w:rPr>
          <w:lang w:val="en-US"/>
        </w:rPr>
        <w:t xml:space="preserve">AT </w:t>
      </w:r>
      <w:r w:rsidR="005177E1" w:rsidRPr="00DB6D42">
        <w:rPr>
          <w:lang w:val="en-US"/>
        </w:rPr>
        <w:t xml:space="preserve">CL-ELISA) </w:t>
      </w:r>
      <w:r w:rsidR="00E91F99" w:rsidRPr="00DB6D42">
        <w:rPr>
          <w:lang w:val="en-US"/>
        </w:rPr>
        <w:t xml:space="preserve">was also </w:t>
      </w:r>
      <w:r w:rsidR="00DB5479" w:rsidRPr="00DB6D42">
        <w:rPr>
          <w:lang w:val="en-US"/>
        </w:rPr>
        <w:t>used</w:t>
      </w:r>
      <w:r w:rsidR="00337A28" w:rsidRPr="00DB6D42">
        <w:rPr>
          <w:lang w:val="en-US"/>
        </w:rPr>
        <w:t xml:space="preserve">, based on </w:t>
      </w:r>
      <w:r w:rsidR="00E91F99" w:rsidRPr="00DB6D42">
        <w:rPr>
          <w:lang w:val="en-US"/>
        </w:rPr>
        <w:t>the reactivity</w:t>
      </w:r>
      <w:r w:rsidR="005177E1" w:rsidRPr="00DB6D42">
        <w:rPr>
          <w:lang w:val="en-US"/>
        </w:rPr>
        <w:t xml:space="preserve"> of sera</w:t>
      </w:r>
      <w:r w:rsidR="00E91F99" w:rsidRPr="00DB6D42">
        <w:rPr>
          <w:lang w:val="en-US"/>
        </w:rPr>
        <w:t xml:space="preserve"> </w:t>
      </w:r>
      <w:r w:rsidR="00337A28" w:rsidRPr="00DB6D42">
        <w:rPr>
          <w:lang w:val="en-US"/>
        </w:rPr>
        <w:t>t</w:t>
      </w:r>
      <w:r w:rsidR="005177E1" w:rsidRPr="00DB6D42">
        <w:rPr>
          <w:lang w:val="en-US"/>
        </w:rPr>
        <w:t>o</w:t>
      </w:r>
      <w:r w:rsidR="00E91F99" w:rsidRPr="00DB6D42">
        <w:rPr>
          <w:lang w:val="en-US"/>
        </w:rPr>
        <w:t xml:space="preserve"> mucin </w:t>
      </w:r>
      <w:r w:rsidR="005177E1" w:rsidRPr="00DB6D42">
        <w:rPr>
          <w:lang w:val="en-US"/>
        </w:rPr>
        <w:t xml:space="preserve">glycoproteins purified from infective </w:t>
      </w:r>
      <w:r w:rsidR="005177E1" w:rsidRPr="00DB6D42">
        <w:rPr>
          <w:i/>
          <w:lang w:val="en-US"/>
        </w:rPr>
        <w:t xml:space="preserve">T. </w:t>
      </w:r>
      <w:proofErr w:type="spellStart"/>
      <w:r w:rsidR="005177E1" w:rsidRPr="00DB6D42">
        <w:rPr>
          <w:i/>
          <w:lang w:val="en-US"/>
        </w:rPr>
        <w:t>cruzi</w:t>
      </w:r>
      <w:proofErr w:type="spellEnd"/>
      <w:r w:rsidR="005177E1" w:rsidRPr="00DB6D42">
        <w:rPr>
          <w:i/>
          <w:lang w:val="en-US"/>
        </w:rPr>
        <w:t xml:space="preserve"> </w:t>
      </w:r>
      <w:r w:rsidR="005177E1" w:rsidRPr="00DB6D42">
        <w:rPr>
          <w:lang w:val="en-US"/>
        </w:rPr>
        <w:t>trypomastigote forms (</w:t>
      </w:r>
      <w:proofErr w:type="spellStart"/>
      <w:r w:rsidR="005177E1" w:rsidRPr="00DB6D42">
        <w:rPr>
          <w:lang w:val="en-US"/>
        </w:rPr>
        <w:t>tGPI</w:t>
      </w:r>
      <w:proofErr w:type="spellEnd"/>
      <w:r w:rsidR="005177E1" w:rsidRPr="00DB6D42">
        <w:rPr>
          <w:lang w:val="en-US"/>
        </w:rPr>
        <w:t>-mucins, or F2/3 or AT antigens)</w:t>
      </w:r>
      <w:r w:rsidR="0027341A" w:rsidRPr="00DB6D42">
        <w:rPr>
          <w:lang w:val="en-US"/>
        </w:rPr>
        <w:t>.</w:t>
      </w:r>
      <w:r w:rsidR="00C46D06" w:rsidRPr="00DB6D42">
        <w:rPr>
          <w:vertAlign w:val="superscript"/>
          <w:lang w:val="en-US"/>
        </w:rPr>
        <w:t>1</w:t>
      </w:r>
      <w:r w:rsidR="00681C64" w:rsidRPr="00DB6D42">
        <w:rPr>
          <w:vertAlign w:val="superscript"/>
          <w:lang w:val="en-US"/>
        </w:rPr>
        <w:t>4</w:t>
      </w:r>
      <w:r w:rsidR="0027341A" w:rsidRPr="00DB6D42">
        <w:rPr>
          <w:noProof/>
          <w:vertAlign w:val="superscript"/>
          <w:lang w:val="en-US"/>
        </w:rPr>
        <w:t>-</w:t>
      </w:r>
      <w:r w:rsidR="00A11ACD" w:rsidRPr="00DB6D42">
        <w:rPr>
          <w:vertAlign w:val="superscript"/>
          <w:lang w:val="en-US"/>
        </w:rPr>
        <w:t>1</w:t>
      </w:r>
      <w:r w:rsidR="00681C64" w:rsidRPr="00DB6D42">
        <w:rPr>
          <w:vertAlign w:val="superscript"/>
          <w:lang w:val="en-US"/>
        </w:rPr>
        <w:t>6</w:t>
      </w:r>
      <w:r w:rsidR="006E4B83" w:rsidRPr="00DB6D42">
        <w:rPr>
          <w:lang w:val="en-US"/>
        </w:rPr>
        <w:t xml:space="preserve"> </w:t>
      </w:r>
    </w:p>
    <w:p w14:paraId="5E4BCB1A" w14:textId="196547CE" w:rsidR="004C1AE1" w:rsidRPr="00DB6D42" w:rsidRDefault="004C1AE1" w:rsidP="00BB5FF5">
      <w:pPr>
        <w:spacing w:line="360" w:lineRule="auto"/>
        <w:jc w:val="both"/>
        <w:rPr>
          <w:lang w:val="en-US"/>
        </w:rPr>
      </w:pPr>
      <w:r w:rsidRPr="00DB6D42">
        <w:rPr>
          <w:lang w:val="en-US"/>
        </w:rPr>
        <w:t>Blood concentrations of RAV and BZN were measured on the first day of treatment (Day 0, pre-dose), during steady-state (D3</w:t>
      </w:r>
      <w:r w:rsidRPr="00DB6D42">
        <w:rPr>
          <w:rFonts w:cs="Arial"/>
          <w:bCs/>
          <w:color w:val="000000"/>
          <w:szCs w:val="29"/>
          <w:lang w:val="en-US"/>
        </w:rPr>
        <w:t>–</w:t>
      </w:r>
      <w:r w:rsidRPr="00DB6D42">
        <w:rPr>
          <w:lang w:val="en-US"/>
        </w:rPr>
        <w:t xml:space="preserve">59), at EOT and at the four-month follow-up visit. </w:t>
      </w:r>
      <w:r w:rsidR="000E50F1" w:rsidRPr="00DB6D42">
        <w:rPr>
          <w:lang w:val="en-US"/>
        </w:rPr>
        <w:t>PK sample analysis was performed using liquid chromatography-electrospray ionization-tandem mass spectrometry. The calibration curve was linear in the concentration range of 50 – 30</w:t>
      </w:r>
      <w:r w:rsidR="0031071F" w:rsidRPr="00DB6D42">
        <w:rPr>
          <w:lang w:val="en-US"/>
        </w:rPr>
        <w:t>·</w:t>
      </w:r>
      <w:r w:rsidR="000E50F1" w:rsidRPr="00DB6D42">
        <w:rPr>
          <w:lang w:val="en-US"/>
        </w:rPr>
        <w:t>000 ng/mL and 50 – 20</w:t>
      </w:r>
      <w:r w:rsidR="0031071F" w:rsidRPr="00DB6D42">
        <w:rPr>
          <w:lang w:val="en-US"/>
        </w:rPr>
        <w:t>·</w:t>
      </w:r>
      <w:r w:rsidR="000E50F1" w:rsidRPr="00DB6D42">
        <w:rPr>
          <w:lang w:val="en-US"/>
        </w:rPr>
        <w:t>000 ng/m</w:t>
      </w:r>
      <w:r w:rsidR="002538EE" w:rsidRPr="00DB6D42">
        <w:rPr>
          <w:lang w:val="en-US"/>
        </w:rPr>
        <w:t>L</w:t>
      </w:r>
      <w:r w:rsidR="000E50F1" w:rsidRPr="00DB6D42">
        <w:rPr>
          <w:lang w:val="en-US"/>
        </w:rPr>
        <w:t xml:space="preserve"> for BZN and RAV, respectively</w:t>
      </w:r>
      <w:r w:rsidR="00F428C3" w:rsidRPr="00DB6D42">
        <w:rPr>
          <w:lang w:val="en-US"/>
        </w:rPr>
        <w:t xml:space="preserve"> (details </w:t>
      </w:r>
      <w:r w:rsidR="00F428C3" w:rsidRPr="00DB6D42">
        <w:t>methodology and the validation methods included in supplementary information)</w:t>
      </w:r>
      <w:r w:rsidR="000E50F1" w:rsidRPr="00DB6D42">
        <w:rPr>
          <w:lang w:val="en-US"/>
        </w:rPr>
        <w:t xml:space="preserve">. </w:t>
      </w:r>
      <w:r w:rsidRPr="00DB6D42">
        <w:rPr>
          <w:lang w:val="en-US"/>
        </w:rPr>
        <w:t xml:space="preserve">Population PK parameters included: AUC, </w:t>
      </w:r>
      <w:proofErr w:type="spellStart"/>
      <w:r w:rsidRPr="00DB6D42">
        <w:rPr>
          <w:lang w:val="en-US"/>
        </w:rPr>
        <w:t>C</w:t>
      </w:r>
      <w:r w:rsidRPr="00DB6D42">
        <w:rPr>
          <w:vertAlign w:val="subscript"/>
          <w:lang w:val="en-US"/>
        </w:rPr>
        <w:t>max</w:t>
      </w:r>
      <w:proofErr w:type="spellEnd"/>
      <w:r w:rsidRPr="00DB6D42">
        <w:rPr>
          <w:lang w:val="en-US"/>
        </w:rPr>
        <w:t xml:space="preserve">, </w:t>
      </w:r>
      <w:proofErr w:type="spellStart"/>
      <w:r w:rsidRPr="00DB6D42">
        <w:rPr>
          <w:lang w:val="en-US"/>
        </w:rPr>
        <w:t>C</w:t>
      </w:r>
      <w:r w:rsidRPr="00DB6D42">
        <w:rPr>
          <w:vertAlign w:val="subscript"/>
          <w:lang w:val="en-US"/>
        </w:rPr>
        <w:t>min</w:t>
      </w:r>
      <w:proofErr w:type="spellEnd"/>
      <w:r w:rsidRPr="00DB6D42">
        <w:rPr>
          <w:lang w:val="en-US"/>
        </w:rPr>
        <w:t>, C</w:t>
      </w:r>
      <w:r w:rsidRPr="00DB6D42">
        <w:rPr>
          <w:vertAlign w:val="subscript"/>
          <w:lang w:val="en-US"/>
        </w:rPr>
        <w:t>L</w:t>
      </w:r>
      <w:r w:rsidRPr="00DB6D42">
        <w:rPr>
          <w:lang w:val="en-US"/>
        </w:rPr>
        <w:t xml:space="preserve">, </w:t>
      </w:r>
      <w:proofErr w:type="spellStart"/>
      <w:r w:rsidRPr="00DB6D42">
        <w:rPr>
          <w:lang w:val="en-US"/>
        </w:rPr>
        <w:t>V</w:t>
      </w:r>
      <w:r w:rsidRPr="00DB6D42">
        <w:rPr>
          <w:vertAlign w:val="subscript"/>
          <w:lang w:val="en-US"/>
        </w:rPr>
        <w:t>d</w:t>
      </w:r>
      <w:proofErr w:type="spellEnd"/>
      <w:r w:rsidRPr="00DB6D42">
        <w:rPr>
          <w:lang w:val="en-US"/>
        </w:rPr>
        <w:t>, and t</w:t>
      </w:r>
      <w:r w:rsidRPr="00DB6D42">
        <w:rPr>
          <w:vertAlign w:val="subscript"/>
          <w:lang w:val="en-US"/>
        </w:rPr>
        <w:t>1/2</w:t>
      </w:r>
      <w:r w:rsidRPr="00DB6D42">
        <w:rPr>
          <w:lang w:val="en-US"/>
        </w:rPr>
        <w:t>. Age, body mass index, and baseline parasite load were evaluated as covariates.</w:t>
      </w:r>
    </w:p>
    <w:p w14:paraId="6163F71E" w14:textId="77777777" w:rsidR="00B32B9F" w:rsidRPr="00DB6D42" w:rsidRDefault="00AB6895" w:rsidP="00BB5FF5">
      <w:pPr>
        <w:spacing w:line="360" w:lineRule="auto"/>
        <w:jc w:val="both"/>
        <w:rPr>
          <w:lang w:val="en-US"/>
        </w:rPr>
      </w:pPr>
      <w:r w:rsidRPr="00DB6D42">
        <w:rPr>
          <w:lang w:val="en-US"/>
        </w:rPr>
        <w:t>Safety was evaluated through routine monitoring of adverse events (AEs)</w:t>
      </w:r>
      <w:r w:rsidR="00B32B9F" w:rsidRPr="00DB6D42">
        <w:rPr>
          <w:lang w:val="en-US"/>
        </w:rPr>
        <w:t>.</w:t>
      </w:r>
      <w:r w:rsidR="00846B56" w:rsidRPr="00DB6D42">
        <w:rPr>
          <w:lang w:val="en-US"/>
        </w:rPr>
        <w:t xml:space="preserve"> </w:t>
      </w:r>
      <w:r w:rsidR="0014039A" w:rsidRPr="00DB6D42">
        <w:rPr>
          <w:lang w:val="en-US"/>
        </w:rPr>
        <w:t xml:space="preserve">Patients were </w:t>
      </w:r>
      <w:r w:rsidR="00AE524B" w:rsidRPr="00DB6D42">
        <w:rPr>
          <w:lang w:val="en-US"/>
        </w:rPr>
        <w:t xml:space="preserve">strictly </w:t>
      </w:r>
      <w:r w:rsidR="0014039A" w:rsidRPr="00DB6D42">
        <w:rPr>
          <w:lang w:val="en-US"/>
        </w:rPr>
        <w:t xml:space="preserve">monitored for liver and cardiac safety. If ALT or AST exceeded 3–8 x the upper limit of normal (ULN), treatment was continued </w:t>
      </w:r>
      <w:r w:rsidR="00291FE2" w:rsidRPr="00DB6D42">
        <w:rPr>
          <w:lang w:val="en-US"/>
        </w:rPr>
        <w:t>if</w:t>
      </w:r>
      <w:r w:rsidR="0014039A" w:rsidRPr="00DB6D42">
        <w:rPr>
          <w:lang w:val="en-US"/>
        </w:rPr>
        <w:t xml:space="preserve"> the patient was asymptomatic and did not show bilirubin elevation &gt;2 x ULN. </w:t>
      </w:r>
      <w:r w:rsidR="00AE524B" w:rsidRPr="00DB6D42">
        <w:rPr>
          <w:lang w:val="en-US"/>
        </w:rPr>
        <w:t>In case of any QTc abnormality, p</w:t>
      </w:r>
      <w:r w:rsidR="0014039A" w:rsidRPr="00DB6D42">
        <w:rPr>
          <w:lang w:val="en-US"/>
        </w:rPr>
        <w:t xml:space="preserve">atients were re-dosed only following review of available ECGs. Echocardiography or Holter monitoring was performed on patients </w:t>
      </w:r>
      <w:r w:rsidR="000E50F1" w:rsidRPr="00DB6D42">
        <w:rPr>
          <w:lang w:val="en-US"/>
        </w:rPr>
        <w:t>with cardiac AEs or c</w:t>
      </w:r>
      <w:r w:rsidR="0014039A" w:rsidRPr="00DB6D42">
        <w:rPr>
          <w:lang w:val="en-US"/>
        </w:rPr>
        <w:t xml:space="preserve">linically significant </w:t>
      </w:r>
      <w:r w:rsidR="000E50F1" w:rsidRPr="00DB6D42">
        <w:rPr>
          <w:lang w:val="en-US"/>
        </w:rPr>
        <w:t xml:space="preserve">ECG </w:t>
      </w:r>
      <w:r w:rsidR="0014039A" w:rsidRPr="00DB6D42">
        <w:rPr>
          <w:lang w:val="en-US"/>
        </w:rPr>
        <w:t xml:space="preserve">changes. Patients were withdrawn from the study </w:t>
      </w:r>
      <w:r w:rsidR="000E50F1" w:rsidRPr="00DB6D42">
        <w:rPr>
          <w:lang w:val="en-US"/>
        </w:rPr>
        <w:t xml:space="preserve">based on specified </w:t>
      </w:r>
      <w:r w:rsidR="0014039A" w:rsidRPr="00DB6D42">
        <w:rPr>
          <w:lang w:val="en-US"/>
        </w:rPr>
        <w:t>liver and cardiac safety criteria.</w:t>
      </w:r>
      <w:r w:rsidR="00AE524B" w:rsidRPr="00DB6D42">
        <w:rPr>
          <w:lang w:val="en-US"/>
        </w:rPr>
        <w:t xml:space="preserve"> </w:t>
      </w:r>
      <w:r w:rsidR="00B32B9F" w:rsidRPr="00DB6D42">
        <w:rPr>
          <w:rFonts w:cs="Arial"/>
          <w:bCs/>
          <w:color w:val="000000"/>
          <w:szCs w:val="29"/>
          <w:lang w:val="en-US"/>
        </w:rPr>
        <w:t>Safety was monitored by an independent D</w:t>
      </w:r>
      <w:r w:rsidR="005B6989" w:rsidRPr="00DB6D42">
        <w:rPr>
          <w:rFonts w:cs="Arial"/>
          <w:bCs/>
          <w:color w:val="000000"/>
          <w:szCs w:val="29"/>
          <w:lang w:val="en-US"/>
        </w:rPr>
        <w:t>ata Safety Monitoring Board</w:t>
      </w:r>
      <w:r w:rsidR="00B32B9F" w:rsidRPr="00DB6D42">
        <w:rPr>
          <w:rFonts w:cs="Arial"/>
          <w:bCs/>
          <w:color w:val="000000"/>
          <w:szCs w:val="29"/>
          <w:lang w:val="en-US"/>
        </w:rPr>
        <w:t xml:space="preserve"> and </w:t>
      </w:r>
      <w:r w:rsidR="00337A28" w:rsidRPr="00DB6D42">
        <w:rPr>
          <w:rFonts w:cs="Arial"/>
          <w:bCs/>
          <w:color w:val="000000"/>
          <w:szCs w:val="29"/>
          <w:lang w:val="en-US"/>
        </w:rPr>
        <w:t xml:space="preserve">by </w:t>
      </w:r>
      <w:r w:rsidR="00846B56" w:rsidRPr="00DB6D42">
        <w:rPr>
          <w:rFonts w:cs="Arial"/>
          <w:bCs/>
          <w:color w:val="000000"/>
          <w:szCs w:val="29"/>
          <w:lang w:val="en-US"/>
        </w:rPr>
        <w:t>c</w:t>
      </w:r>
      <w:r w:rsidR="00B32B9F" w:rsidRPr="00DB6D42">
        <w:rPr>
          <w:rFonts w:cs="Arial"/>
          <w:bCs/>
          <w:color w:val="000000"/>
          <w:szCs w:val="29"/>
          <w:lang w:val="en-US"/>
        </w:rPr>
        <w:t xml:space="preserve">ardiac </w:t>
      </w:r>
      <w:r w:rsidR="00846B56" w:rsidRPr="00DB6D42">
        <w:rPr>
          <w:rFonts w:cs="Arial"/>
          <w:bCs/>
          <w:color w:val="000000"/>
          <w:szCs w:val="29"/>
          <w:lang w:val="en-US"/>
        </w:rPr>
        <w:t>safety e</w:t>
      </w:r>
      <w:r w:rsidR="00B32B9F" w:rsidRPr="00DB6D42">
        <w:rPr>
          <w:rFonts w:cs="Arial"/>
          <w:bCs/>
          <w:color w:val="000000"/>
          <w:szCs w:val="29"/>
          <w:lang w:val="en-US"/>
        </w:rPr>
        <w:t>xpert</w:t>
      </w:r>
      <w:r w:rsidR="00846B56" w:rsidRPr="00DB6D42">
        <w:rPr>
          <w:rFonts w:cs="Arial"/>
          <w:bCs/>
          <w:color w:val="000000"/>
          <w:szCs w:val="29"/>
          <w:lang w:val="en-US"/>
        </w:rPr>
        <w:t>s</w:t>
      </w:r>
      <w:r w:rsidR="00B32B9F" w:rsidRPr="00DB6D42">
        <w:rPr>
          <w:rFonts w:cs="Arial"/>
          <w:bCs/>
          <w:color w:val="000000"/>
          <w:szCs w:val="29"/>
          <w:lang w:val="en-US"/>
        </w:rPr>
        <w:t xml:space="preserve"> on an ongoing basis.</w:t>
      </w:r>
    </w:p>
    <w:p w14:paraId="5B05FA3C" w14:textId="38B23F23" w:rsidR="00B21755" w:rsidRPr="00DB6D42" w:rsidRDefault="00B21755" w:rsidP="00BB5FF5">
      <w:pPr>
        <w:spacing w:line="360" w:lineRule="auto"/>
        <w:jc w:val="both"/>
        <w:rPr>
          <w:b/>
          <w:i/>
          <w:lang w:val="en-US"/>
        </w:rPr>
      </w:pPr>
      <w:r w:rsidRPr="00DB6D42">
        <w:rPr>
          <w:b/>
          <w:i/>
          <w:lang w:val="en-US"/>
        </w:rPr>
        <w:t>Outcomes</w:t>
      </w:r>
    </w:p>
    <w:p w14:paraId="1ADF3A3F" w14:textId="1DDB3522" w:rsidR="00B21755" w:rsidRPr="00DB6D42" w:rsidRDefault="00B21755" w:rsidP="00BB5FF5">
      <w:pPr>
        <w:spacing w:line="360" w:lineRule="auto"/>
        <w:jc w:val="both"/>
        <w:rPr>
          <w:lang w:val="en-US"/>
        </w:rPr>
      </w:pPr>
      <w:r w:rsidRPr="00DB6D42">
        <w:rPr>
          <w:lang w:val="en-US"/>
        </w:rPr>
        <w:t xml:space="preserve">Following expert consultation, the primary efficacy endpoint was defined as parasitological response at </w:t>
      </w:r>
      <w:r w:rsidR="00CB398A" w:rsidRPr="00DB6D42">
        <w:rPr>
          <w:lang w:val="en-US"/>
        </w:rPr>
        <w:t>end of treatment (</w:t>
      </w:r>
      <w:r w:rsidRPr="00DB6D42">
        <w:rPr>
          <w:lang w:val="en-US"/>
        </w:rPr>
        <w:t>EOT</w:t>
      </w:r>
      <w:r w:rsidR="00CB398A" w:rsidRPr="00DB6D42">
        <w:rPr>
          <w:lang w:val="en-US"/>
        </w:rPr>
        <w:t>)</w:t>
      </w:r>
      <w:r w:rsidRPr="00DB6D42">
        <w:rPr>
          <w:lang w:val="en-US"/>
        </w:rPr>
        <w:t xml:space="preserve">, determined by serial negative qualitative standardized PCR: three negative PCR results, from three samples of 10 ml collected over seven days at EOT. Serial examination was used for increased sensitivity. </w:t>
      </w:r>
      <w:r w:rsidR="00157D20" w:rsidRPr="00DB6D42">
        <w:rPr>
          <w:lang w:val="en-US"/>
        </w:rPr>
        <w:t>The s</w:t>
      </w:r>
      <w:r w:rsidRPr="00DB6D42">
        <w:rPr>
          <w:lang w:val="en-US"/>
        </w:rPr>
        <w:t xml:space="preserve">econdary efficacy endpoints </w:t>
      </w:r>
      <w:r w:rsidR="00157D20" w:rsidRPr="00DB6D42">
        <w:rPr>
          <w:lang w:val="en-US"/>
        </w:rPr>
        <w:t>were s</w:t>
      </w:r>
      <w:r w:rsidR="006D0EF0" w:rsidRPr="00DB6D42">
        <w:rPr>
          <w:lang w:val="en-US"/>
        </w:rPr>
        <w:t xml:space="preserve">ustainability of </w:t>
      </w:r>
      <w:r w:rsidRPr="00DB6D42">
        <w:rPr>
          <w:lang w:val="en-US"/>
        </w:rPr>
        <w:t xml:space="preserve">parasitological </w:t>
      </w:r>
      <w:r w:rsidR="00274E46" w:rsidRPr="00DB6D42">
        <w:rPr>
          <w:lang w:val="en-US"/>
        </w:rPr>
        <w:t>clearance</w:t>
      </w:r>
      <w:r w:rsidR="00157D20" w:rsidRPr="00DB6D42">
        <w:rPr>
          <w:lang w:val="en-US"/>
        </w:rPr>
        <w:t xml:space="preserve"> (</w:t>
      </w:r>
      <w:r w:rsidRPr="00DB6D42">
        <w:rPr>
          <w:lang w:val="en-US"/>
        </w:rPr>
        <w:t xml:space="preserve">negative qualitative PCR results at </w:t>
      </w:r>
      <w:r w:rsidR="00274E46" w:rsidRPr="00DB6D42">
        <w:rPr>
          <w:lang w:val="en-US"/>
        </w:rPr>
        <w:t xml:space="preserve">D65, </w:t>
      </w:r>
      <w:r w:rsidR="001A1599" w:rsidRPr="00DB6D42">
        <w:rPr>
          <w:lang w:val="en-US"/>
        </w:rPr>
        <w:t xml:space="preserve">and at </w:t>
      </w:r>
      <w:r w:rsidRPr="00DB6D42">
        <w:rPr>
          <w:lang w:val="en-US"/>
        </w:rPr>
        <w:t>4, 6, and 12 months of follow-up</w:t>
      </w:r>
      <w:r w:rsidR="00157D20" w:rsidRPr="00DB6D42">
        <w:rPr>
          <w:lang w:val="en-US"/>
        </w:rPr>
        <w:t>), p</w:t>
      </w:r>
      <w:r w:rsidRPr="00DB6D42">
        <w:rPr>
          <w:lang w:val="en-US"/>
        </w:rPr>
        <w:t xml:space="preserve">arasite clearance and changes in parasite load </w:t>
      </w:r>
      <w:r w:rsidR="00157D20" w:rsidRPr="00DB6D42">
        <w:rPr>
          <w:lang w:val="en-US"/>
        </w:rPr>
        <w:t>(</w:t>
      </w:r>
      <w:r w:rsidRPr="00DB6D42">
        <w:rPr>
          <w:lang w:val="en-US"/>
        </w:rPr>
        <w:t>measured by qualitative PCR and quantitative PCR (qPCR) on days 8, 15, 36, EOT, and at 4, 6, and 12 months</w:t>
      </w:r>
      <w:r w:rsidR="00306AAD" w:rsidRPr="00DB6D42">
        <w:rPr>
          <w:lang w:val="en-US"/>
        </w:rPr>
        <w:t xml:space="preserve"> of</w:t>
      </w:r>
      <w:r w:rsidRPr="00DB6D42">
        <w:rPr>
          <w:lang w:val="en-US"/>
        </w:rPr>
        <w:t xml:space="preserve"> follow-up</w:t>
      </w:r>
      <w:r w:rsidR="00157D20" w:rsidRPr="00DB6D42">
        <w:rPr>
          <w:lang w:val="en-US"/>
        </w:rPr>
        <w:t>), incidence of conversion to negative response in conventional and non-</w:t>
      </w:r>
      <w:r w:rsidR="00157D20" w:rsidRPr="00DB6D42">
        <w:rPr>
          <w:lang w:val="en-US"/>
        </w:rPr>
        <w:lastRenderedPageBreak/>
        <w:t xml:space="preserve">conventional (lytic </w:t>
      </w:r>
      <w:r w:rsidR="00306AAD" w:rsidRPr="00DB6D42">
        <w:rPr>
          <w:lang w:val="en-US"/>
        </w:rPr>
        <w:t>anti-</w:t>
      </w:r>
      <w:r w:rsidR="00CD56EA" w:rsidRPr="00DB6D42">
        <w:rPr>
          <w:lang w:val="en-US"/>
        </w:rPr>
        <w:sym w:font="Symbol" w:char="F061"/>
      </w:r>
      <w:r w:rsidR="00306AAD" w:rsidRPr="00DB6D42">
        <w:rPr>
          <w:lang w:val="en-US"/>
        </w:rPr>
        <w:t xml:space="preserve">-Gal </w:t>
      </w:r>
      <w:r w:rsidR="00157D20" w:rsidRPr="00DB6D42">
        <w:rPr>
          <w:lang w:val="en-US"/>
        </w:rPr>
        <w:t>antibodies measured by AT CL-ELISA) s</w:t>
      </w:r>
      <w:r w:rsidRPr="00DB6D42">
        <w:rPr>
          <w:lang w:val="en-US"/>
        </w:rPr>
        <w:t xml:space="preserve">erological response </w:t>
      </w:r>
      <w:r w:rsidR="00157D20" w:rsidRPr="00DB6D42">
        <w:rPr>
          <w:lang w:val="en-US"/>
        </w:rPr>
        <w:t>(</w:t>
      </w:r>
      <w:r w:rsidRPr="00DB6D42">
        <w:rPr>
          <w:lang w:val="en-US"/>
        </w:rPr>
        <w:t xml:space="preserve">assessed at EOT, </w:t>
      </w:r>
      <w:r w:rsidR="001A1599" w:rsidRPr="00DB6D42">
        <w:rPr>
          <w:lang w:val="en-US"/>
        </w:rPr>
        <w:t xml:space="preserve">and at </w:t>
      </w:r>
      <w:r w:rsidRPr="00DB6D42">
        <w:rPr>
          <w:lang w:val="en-US"/>
        </w:rPr>
        <w:t>4, 6,</w:t>
      </w:r>
      <w:r w:rsidR="00F5049F" w:rsidRPr="00DB6D42">
        <w:rPr>
          <w:lang w:val="en-US"/>
        </w:rPr>
        <w:t xml:space="preserve"> and 12 months </w:t>
      </w:r>
      <w:r w:rsidR="0018504D" w:rsidRPr="00DB6D42">
        <w:rPr>
          <w:lang w:val="en-US"/>
        </w:rPr>
        <w:t>post</w:t>
      </w:r>
      <w:r w:rsidR="00F5049F" w:rsidRPr="00DB6D42">
        <w:rPr>
          <w:lang w:val="en-US"/>
        </w:rPr>
        <w:t>treatment</w:t>
      </w:r>
      <w:r w:rsidR="00157D20" w:rsidRPr="00DB6D42">
        <w:rPr>
          <w:lang w:val="en-US"/>
        </w:rPr>
        <w:t>)</w:t>
      </w:r>
      <w:r w:rsidR="00F5049F" w:rsidRPr="00DB6D42">
        <w:rPr>
          <w:lang w:val="en-US"/>
        </w:rPr>
        <w:t>.</w:t>
      </w:r>
      <w:r w:rsidR="00157D20" w:rsidRPr="00DB6D42">
        <w:rPr>
          <w:lang w:val="en-US"/>
        </w:rPr>
        <w:t xml:space="preserve"> </w:t>
      </w:r>
    </w:p>
    <w:p w14:paraId="00CA45A7" w14:textId="1240A214" w:rsidR="00B21755" w:rsidRPr="00DB6D42" w:rsidRDefault="00B21755" w:rsidP="00BB5FF5">
      <w:pPr>
        <w:spacing w:line="360" w:lineRule="auto"/>
        <w:jc w:val="both"/>
        <w:rPr>
          <w:lang w:val="en-US"/>
        </w:rPr>
      </w:pPr>
      <w:r w:rsidRPr="00DB6D42">
        <w:rPr>
          <w:lang w:val="en-US"/>
        </w:rPr>
        <w:t xml:space="preserve">Safety endpoints were treatment emergent </w:t>
      </w:r>
      <w:r w:rsidR="004C1AE1" w:rsidRPr="00DB6D42">
        <w:rPr>
          <w:lang w:val="en-US"/>
        </w:rPr>
        <w:t xml:space="preserve">AE </w:t>
      </w:r>
      <w:r w:rsidRPr="00DB6D42">
        <w:rPr>
          <w:lang w:val="en-US"/>
        </w:rPr>
        <w:t>(TEAE)</w:t>
      </w:r>
      <w:r w:rsidR="004115CF" w:rsidRPr="00DB6D42">
        <w:rPr>
          <w:lang w:val="en-US"/>
        </w:rPr>
        <w:t>, laboratory variables (mean change from baseline for each timepoint D2, D3, D15, D36</w:t>
      </w:r>
      <w:r w:rsidR="001A1599" w:rsidRPr="00DB6D42">
        <w:rPr>
          <w:lang w:val="en-US"/>
        </w:rPr>
        <w:t>,</w:t>
      </w:r>
      <w:r w:rsidR="004115CF" w:rsidRPr="00DB6D42">
        <w:rPr>
          <w:lang w:val="en-US"/>
        </w:rPr>
        <w:t xml:space="preserve"> and D65) and EKG measurements (ventricular rate (VR), PR interval, RR interval, QRS interval, QT interval, </w:t>
      </w:r>
      <w:proofErr w:type="spellStart"/>
      <w:r w:rsidR="004115CF" w:rsidRPr="00DB6D42">
        <w:rPr>
          <w:lang w:val="en-US"/>
        </w:rPr>
        <w:t>QTcF</w:t>
      </w:r>
      <w:proofErr w:type="spellEnd"/>
      <w:r w:rsidR="004115CF" w:rsidRPr="00DB6D42">
        <w:rPr>
          <w:lang w:val="en-US"/>
        </w:rPr>
        <w:t xml:space="preserve"> and QTcB at each timepoint)</w:t>
      </w:r>
      <w:r w:rsidR="0027341A" w:rsidRPr="00DB6D42">
        <w:rPr>
          <w:lang w:val="en-US"/>
        </w:rPr>
        <w:t>.</w:t>
      </w:r>
    </w:p>
    <w:p w14:paraId="6ADEC512" w14:textId="77777777" w:rsidR="00B21755" w:rsidRPr="00DB6D42" w:rsidRDefault="00B21755" w:rsidP="00BB5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360" w:lineRule="auto"/>
        <w:jc w:val="both"/>
        <w:rPr>
          <w:rFonts w:cs="Arial"/>
          <w:b/>
          <w:bCs/>
          <w:i/>
          <w:color w:val="000000"/>
          <w:szCs w:val="29"/>
          <w:lang w:val="en-US"/>
        </w:rPr>
      </w:pPr>
      <w:r w:rsidRPr="00DB6D42">
        <w:rPr>
          <w:rFonts w:cs="Arial"/>
          <w:b/>
          <w:bCs/>
          <w:i/>
          <w:color w:val="000000"/>
          <w:szCs w:val="29"/>
          <w:lang w:val="en-US"/>
        </w:rPr>
        <w:t>Statistical analyses</w:t>
      </w:r>
    </w:p>
    <w:p w14:paraId="200FE866" w14:textId="11DC767C" w:rsidR="00257D07" w:rsidRPr="00DB6D42" w:rsidRDefault="00B32B9F" w:rsidP="00BB5FF5">
      <w:pPr>
        <w:spacing w:line="360" w:lineRule="auto"/>
        <w:jc w:val="both"/>
        <w:rPr>
          <w:lang w:val="en-US"/>
        </w:rPr>
      </w:pPr>
      <w:r w:rsidRPr="00DB6D42">
        <w:rPr>
          <w:rFonts w:cs="Arial"/>
          <w:bCs/>
          <w:szCs w:val="29"/>
          <w:lang w:val="en-US"/>
        </w:rPr>
        <w:t>The study was powered to provide evidence of superior efficacy of each of the E1224 regimens and of BZN relative to placebo</w:t>
      </w:r>
      <w:r w:rsidR="006518DD" w:rsidRPr="00DB6D42">
        <w:rPr>
          <w:lang w:val="en-US"/>
        </w:rPr>
        <w:t xml:space="preserve">. </w:t>
      </w:r>
      <w:r w:rsidR="00A451F5" w:rsidRPr="00DB6D42">
        <w:rPr>
          <w:lang w:val="en-US"/>
        </w:rPr>
        <w:t>Forty</w:t>
      </w:r>
      <w:r w:rsidR="0069431F" w:rsidRPr="00DB6D42">
        <w:rPr>
          <w:lang w:val="en-US"/>
        </w:rPr>
        <w:t>-six</w:t>
      </w:r>
      <w:r w:rsidRPr="00DB6D42">
        <w:rPr>
          <w:lang w:val="en-US"/>
        </w:rPr>
        <w:t xml:space="preserve"> patients per treatment group </w:t>
      </w:r>
      <w:r w:rsidR="00A451F5" w:rsidRPr="00DB6D42">
        <w:rPr>
          <w:lang w:val="en-US"/>
        </w:rPr>
        <w:t xml:space="preserve">were </w:t>
      </w:r>
      <w:r w:rsidR="0069431F" w:rsidRPr="00DB6D42">
        <w:rPr>
          <w:lang w:val="en-US"/>
        </w:rPr>
        <w:t xml:space="preserve">required </w:t>
      </w:r>
      <w:r w:rsidR="00A451F5" w:rsidRPr="00DB6D42">
        <w:rPr>
          <w:lang w:val="en-US"/>
        </w:rPr>
        <w:t>for</w:t>
      </w:r>
      <w:r w:rsidRPr="00DB6D42">
        <w:rPr>
          <w:lang w:val="en-US"/>
        </w:rPr>
        <w:t xml:space="preserve"> 90% power at a global </w:t>
      </w:r>
      <w:r w:rsidR="000F6D48" w:rsidRPr="00DB6D42">
        <w:rPr>
          <w:lang w:val="en-US"/>
        </w:rPr>
        <w:t>5% significance level (</w:t>
      </w:r>
      <w:r w:rsidR="007D63A6" w:rsidRPr="00DB6D42">
        <w:rPr>
          <w:lang w:val="en-US"/>
        </w:rPr>
        <w:t>two</w:t>
      </w:r>
      <w:r w:rsidR="000F6D48" w:rsidRPr="00DB6D42">
        <w:rPr>
          <w:lang w:val="en-US"/>
        </w:rPr>
        <w:t>-sided),</w:t>
      </w:r>
      <w:r w:rsidRPr="00DB6D42">
        <w:rPr>
          <w:lang w:val="en-US"/>
        </w:rPr>
        <w:t xml:space="preserve"> </w:t>
      </w:r>
      <w:r w:rsidR="002C249F" w:rsidRPr="00DB6D42">
        <w:rPr>
          <w:lang w:val="en-US"/>
        </w:rPr>
        <w:t>if</w:t>
      </w:r>
      <w:r w:rsidRPr="00DB6D42">
        <w:rPr>
          <w:lang w:val="en-US"/>
        </w:rPr>
        <w:t xml:space="preserve"> the proportion of patients with clear </w:t>
      </w:r>
      <w:proofErr w:type="spellStart"/>
      <w:r w:rsidRPr="00DB6D42">
        <w:rPr>
          <w:lang w:val="en-US"/>
        </w:rPr>
        <w:t>parasit</w:t>
      </w:r>
      <w:r w:rsidR="004649A5" w:rsidRPr="00DB6D42">
        <w:rPr>
          <w:lang w:val="en-US"/>
        </w:rPr>
        <w:t>a</w:t>
      </w:r>
      <w:r w:rsidRPr="00DB6D42">
        <w:rPr>
          <w:lang w:val="en-US"/>
        </w:rPr>
        <w:t>emia</w:t>
      </w:r>
      <w:proofErr w:type="spellEnd"/>
      <w:r w:rsidRPr="00DB6D42">
        <w:rPr>
          <w:lang w:val="en-US"/>
        </w:rPr>
        <w:t xml:space="preserve"> at EOT in the E1224 treatment groups </w:t>
      </w:r>
      <w:r w:rsidR="00AD205F" w:rsidRPr="00DB6D42">
        <w:rPr>
          <w:lang w:val="en-US"/>
        </w:rPr>
        <w:t>or BZN</w:t>
      </w:r>
      <w:r w:rsidR="00FE755D" w:rsidRPr="00DB6D42">
        <w:rPr>
          <w:lang w:val="en-US"/>
        </w:rPr>
        <w:t xml:space="preserve"> </w:t>
      </w:r>
      <w:r w:rsidRPr="00DB6D42">
        <w:rPr>
          <w:lang w:val="en-US"/>
        </w:rPr>
        <w:t>is 0</w:t>
      </w:r>
      <w:r w:rsidR="0031071F" w:rsidRPr="00DB6D42">
        <w:rPr>
          <w:lang w:val="en-US"/>
        </w:rPr>
        <w:t>·</w:t>
      </w:r>
      <w:r w:rsidRPr="00DB6D42">
        <w:rPr>
          <w:lang w:val="en-US"/>
        </w:rPr>
        <w:t>60</w:t>
      </w:r>
      <w:r w:rsidR="00FE755D" w:rsidRPr="00DB6D42">
        <w:rPr>
          <w:lang w:val="en-US"/>
        </w:rPr>
        <w:t>,</w:t>
      </w:r>
      <w:r w:rsidRPr="00DB6D42">
        <w:rPr>
          <w:lang w:val="en-US"/>
        </w:rPr>
        <w:t xml:space="preserve"> and the proportion in the placebo group is 0</w:t>
      </w:r>
      <w:r w:rsidR="00AD205F" w:rsidRPr="00DB6D42">
        <w:rPr>
          <w:lang w:val="en-US"/>
        </w:rPr>
        <w:t>·</w:t>
      </w:r>
      <w:r w:rsidRPr="00DB6D42">
        <w:rPr>
          <w:lang w:val="en-US"/>
        </w:rPr>
        <w:t>20</w:t>
      </w:r>
      <w:r w:rsidR="0069431F" w:rsidRPr="00DB6D42">
        <w:rPr>
          <w:lang w:val="en-US"/>
        </w:rPr>
        <w:t>,</w:t>
      </w:r>
      <w:r w:rsidRPr="00DB6D42">
        <w:rPr>
          <w:lang w:val="en-US"/>
        </w:rPr>
        <w:t xml:space="preserve"> </w:t>
      </w:r>
      <w:r w:rsidR="0069431F" w:rsidRPr="00DB6D42">
        <w:rPr>
          <w:lang w:val="en-US"/>
        </w:rPr>
        <w:t xml:space="preserve">with </w:t>
      </w:r>
      <w:r w:rsidR="00D60BD9" w:rsidRPr="00DB6D42">
        <w:rPr>
          <w:lang w:val="en-US"/>
        </w:rPr>
        <w:t xml:space="preserve">an </w:t>
      </w:r>
      <w:r w:rsidRPr="00DB6D42">
        <w:rPr>
          <w:lang w:val="en-US"/>
        </w:rPr>
        <w:t>estimated drop-out rate of 15</w:t>
      </w:r>
      <w:r w:rsidR="0069431F" w:rsidRPr="00DB6D42">
        <w:rPr>
          <w:lang w:val="en-US"/>
        </w:rPr>
        <w:t>%.</w:t>
      </w:r>
    </w:p>
    <w:p w14:paraId="61E621D7" w14:textId="5CBA8ADC" w:rsidR="005F7B62" w:rsidRPr="00DB6D42" w:rsidRDefault="005F7B62" w:rsidP="00BB5FF5">
      <w:pPr>
        <w:spacing w:line="360" w:lineRule="auto"/>
        <w:jc w:val="both"/>
        <w:rPr>
          <w:rFonts w:cs="Arial"/>
          <w:bCs/>
          <w:szCs w:val="29"/>
          <w:lang w:val="en-US"/>
        </w:rPr>
      </w:pPr>
      <w:r w:rsidRPr="00DB6D42">
        <w:rPr>
          <w:rFonts w:cs="Arial"/>
          <w:bCs/>
          <w:szCs w:val="29"/>
          <w:lang w:val="en-US"/>
        </w:rPr>
        <w:t xml:space="preserve">The intention-to-treat (ITT) </w:t>
      </w:r>
      <w:r w:rsidR="0047331E" w:rsidRPr="00DB6D42">
        <w:rPr>
          <w:rFonts w:cs="Arial"/>
          <w:bCs/>
          <w:szCs w:val="29"/>
          <w:lang w:val="en-US"/>
        </w:rPr>
        <w:t>population and the Full analysis set (FAS)</w:t>
      </w:r>
      <w:r w:rsidRPr="00DB6D42">
        <w:rPr>
          <w:rFonts w:cs="Arial"/>
          <w:bCs/>
          <w:szCs w:val="29"/>
          <w:lang w:val="en-US"/>
        </w:rPr>
        <w:t xml:space="preserve"> </w:t>
      </w:r>
      <w:r w:rsidR="0047331E" w:rsidRPr="00DB6D42">
        <w:rPr>
          <w:rFonts w:cs="Arial"/>
          <w:bCs/>
          <w:szCs w:val="29"/>
          <w:lang w:val="en-US"/>
        </w:rPr>
        <w:t>comprised</w:t>
      </w:r>
      <w:r w:rsidRPr="00DB6D42">
        <w:rPr>
          <w:rFonts w:cs="Arial"/>
          <w:bCs/>
          <w:szCs w:val="29"/>
          <w:lang w:val="en-US"/>
        </w:rPr>
        <w:t xml:space="preserve"> all randomized patients by their assigned treatment arms (primary analysis set)</w:t>
      </w:r>
      <w:r w:rsidR="0047331E" w:rsidRPr="00DB6D42">
        <w:rPr>
          <w:rFonts w:cs="Arial"/>
          <w:bCs/>
          <w:szCs w:val="29"/>
          <w:lang w:val="en-US"/>
        </w:rPr>
        <w:t xml:space="preserve"> and</w:t>
      </w:r>
      <w:r w:rsidRPr="00DB6D42">
        <w:rPr>
          <w:rFonts w:cs="Arial"/>
          <w:bCs/>
          <w:szCs w:val="29"/>
          <w:lang w:val="en-US"/>
        </w:rPr>
        <w:t xml:space="preserve"> by their actual treatment arms </w:t>
      </w:r>
      <w:r w:rsidR="0047331E" w:rsidRPr="00DB6D42">
        <w:rPr>
          <w:rFonts w:cs="Arial"/>
          <w:bCs/>
          <w:szCs w:val="29"/>
          <w:lang w:val="en-US"/>
        </w:rPr>
        <w:t xml:space="preserve">respectively while </w:t>
      </w:r>
      <w:r w:rsidR="004C1AE1" w:rsidRPr="00DB6D42">
        <w:rPr>
          <w:rFonts w:cs="Arial"/>
          <w:bCs/>
          <w:szCs w:val="29"/>
          <w:lang w:val="en-US"/>
        </w:rPr>
        <w:t>t</w:t>
      </w:r>
      <w:r w:rsidRPr="00DB6D42">
        <w:rPr>
          <w:rFonts w:cs="Arial"/>
          <w:bCs/>
          <w:szCs w:val="29"/>
          <w:lang w:val="en-US"/>
        </w:rPr>
        <w:t xml:space="preserve">he per-protocol (PP) </w:t>
      </w:r>
      <w:r w:rsidR="0047331E" w:rsidRPr="00DB6D42">
        <w:rPr>
          <w:rFonts w:cs="Arial"/>
          <w:bCs/>
          <w:szCs w:val="29"/>
          <w:lang w:val="en-US"/>
        </w:rPr>
        <w:t>population was co</w:t>
      </w:r>
      <w:r w:rsidRPr="00DB6D42">
        <w:rPr>
          <w:rFonts w:cs="Arial"/>
          <w:bCs/>
          <w:szCs w:val="29"/>
          <w:lang w:val="en-US"/>
        </w:rPr>
        <w:t>mposed of all ITT patients without any major protocol deviations</w:t>
      </w:r>
      <w:r w:rsidR="0047331E" w:rsidRPr="00DB6D42">
        <w:rPr>
          <w:rFonts w:cs="Arial"/>
          <w:bCs/>
          <w:szCs w:val="29"/>
          <w:lang w:val="en-US"/>
        </w:rPr>
        <w:t>. A</w:t>
      </w:r>
      <w:r w:rsidRPr="00DB6D42">
        <w:rPr>
          <w:rFonts w:cs="Arial"/>
          <w:bCs/>
          <w:szCs w:val="29"/>
          <w:lang w:val="en-US"/>
        </w:rPr>
        <w:t xml:space="preserve"> safety </w:t>
      </w:r>
      <w:r w:rsidR="0047331E" w:rsidRPr="00DB6D42">
        <w:rPr>
          <w:rFonts w:cs="Arial"/>
          <w:bCs/>
          <w:szCs w:val="29"/>
          <w:lang w:val="en-US"/>
        </w:rPr>
        <w:t xml:space="preserve">population was defined as </w:t>
      </w:r>
      <w:r w:rsidRPr="00DB6D42">
        <w:rPr>
          <w:rFonts w:cs="Arial"/>
          <w:bCs/>
          <w:szCs w:val="29"/>
          <w:lang w:val="en-US"/>
        </w:rPr>
        <w:t xml:space="preserve">all </w:t>
      </w:r>
      <w:r w:rsidR="0047331E" w:rsidRPr="00DB6D42">
        <w:rPr>
          <w:rFonts w:cs="Arial"/>
          <w:bCs/>
          <w:szCs w:val="29"/>
          <w:lang w:val="en-US"/>
        </w:rPr>
        <w:t xml:space="preserve">patients </w:t>
      </w:r>
      <w:r w:rsidRPr="00DB6D42">
        <w:rPr>
          <w:rFonts w:cs="Arial"/>
          <w:bCs/>
          <w:szCs w:val="29"/>
          <w:lang w:val="en-US"/>
        </w:rPr>
        <w:t>randomized</w:t>
      </w:r>
      <w:r w:rsidR="0047331E" w:rsidRPr="00DB6D42">
        <w:rPr>
          <w:rFonts w:cs="Arial"/>
          <w:bCs/>
          <w:szCs w:val="29"/>
          <w:lang w:val="en-US"/>
        </w:rPr>
        <w:t xml:space="preserve"> and</w:t>
      </w:r>
      <w:r w:rsidRPr="00DB6D42">
        <w:rPr>
          <w:rFonts w:cs="Arial"/>
          <w:bCs/>
          <w:szCs w:val="29"/>
          <w:lang w:val="en-US"/>
        </w:rPr>
        <w:t xml:space="preserve"> having received at least one dose of study therapy. The primary efficacy analysis </w:t>
      </w:r>
      <w:r w:rsidR="00370095" w:rsidRPr="00DB6D42">
        <w:rPr>
          <w:rFonts w:cs="Arial"/>
          <w:bCs/>
          <w:szCs w:val="29"/>
          <w:lang w:val="en-US"/>
        </w:rPr>
        <w:t xml:space="preserve">was performed first on the ITT population and secondarily on FAS </w:t>
      </w:r>
      <w:r w:rsidR="0047331E" w:rsidRPr="00DB6D42">
        <w:rPr>
          <w:rFonts w:cs="Arial"/>
          <w:bCs/>
          <w:szCs w:val="29"/>
          <w:lang w:val="en-US"/>
        </w:rPr>
        <w:t>and</w:t>
      </w:r>
      <w:r w:rsidR="00370095" w:rsidRPr="00DB6D42">
        <w:rPr>
          <w:rFonts w:cs="Arial"/>
          <w:bCs/>
          <w:szCs w:val="29"/>
          <w:lang w:val="en-US"/>
        </w:rPr>
        <w:t xml:space="preserve"> PP populations as s</w:t>
      </w:r>
      <w:r w:rsidRPr="00DB6D42">
        <w:rPr>
          <w:rFonts w:cs="Arial"/>
          <w:bCs/>
          <w:szCs w:val="29"/>
          <w:lang w:val="en-US"/>
        </w:rPr>
        <w:t xml:space="preserve">ensitivity analyses for the primary and secondary </w:t>
      </w:r>
      <w:r w:rsidR="00370095" w:rsidRPr="00DB6D42">
        <w:rPr>
          <w:rFonts w:cs="Arial"/>
          <w:bCs/>
          <w:szCs w:val="29"/>
          <w:lang w:val="en-US"/>
        </w:rPr>
        <w:t>endpoints</w:t>
      </w:r>
      <w:r w:rsidRPr="00DB6D42">
        <w:rPr>
          <w:rFonts w:cs="Arial"/>
          <w:bCs/>
          <w:szCs w:val="29"/>
          <w:lang w:val="en-US"/>
        </w:rPr>
        <w:t xml:space="preserve">. The SAF </w:t>
      </w:r>
      <w:r w:rsidR="00370095" w:rsidRPr="00DB6D42">
        <w:rPr>
          <w:rFonts w:cs="Arial"/>
          <w:bCs/>
          <w:szCs w:val="29"/>
          <w:lang w:val="en-US"/>
        </w:rPr>
        <w:t>population</w:t>
      </w:r>
      <w:r w:rsidRPr="00DB6D42">
        <w:rPr>
          <w:rFonts w:cs="Arial"/>
          <w:bCs/>
          <w:szCs w:val="29"/>
          <w:lang w:val="en-US"/>
        </w:rPr>
        <w:t xml:space="preserve"> was used to perform the safety analyses. </w:t>
      </w:r>
    </w:p>
    <w:p w14:paraId="54AD2B44" w14:textId="51BA282C" w:rsidR="0029304D" w:rsidRPr="00DB6D42" w:rsidRDefault="0029304D" w:rsidP="00BB5FF5">
      <w:pPr>
        <w:spacing w:line="360" w:lineRule="auto"/>
        <w:jc w:val="both"/>
        <w:rPr>
          <w:rFonts w:cs="Arial"/>
          <w:bCs/>
          <w:szCs w:val="29"/>
          <w:lang w:val="en-US"/>
        </w:rPr>
      </w:pPr>
      <w:r w:rsidRPr="00DB6D42">
        <w:rPr>
          <w:rFonts w:cs="Arial"/>
          <w:bCs/>
          <w:szCs w:val="29"/>
          <w:lang w:val="en-US"/>
        </w:rPr>
        <w:t xml:space="preserve">Several missing data replacement strategies were used. In case of missing PCR evaluations, the following imputation rule was followed. The outcome was imputed as success if and only if: 1) One unevaluable PCR result and two consecutive negative PCR results at D65; 2) Two unevaluable PCR results and one negative PCR result at D65; </w:t>
      </w:r>
      <w:r w:rsidR="0027341A" w:rsidRPr="00DB6D42">
        <w:rPr>
          <w:rFonts w:cs="Arial"/>
          <w:bCs/>
          <w:szCs w:val="29"/>
          <w:lang w:val="en-US"/>
        </w:rPr>
        <w:t>3) Three</w:t>
      </w:r>
      <w:r w:rsidRPr="00DB6D42">
        <w:rPr>
          <w:rFonts w:cs="Arial"/>
          <w:bCs/>
          <w:szCs w:val="29"/>
          <w:lang w:val="en-US"/>
        </w:rPr>
        <w:t xml:space="preserve"> unevaluable PCR results at D65 and three consecutive negative results at D36.  Patients with missing EOT results for any other reason were to be considered as failures for the primary analysis (IMPUT1). A second, more conservative, method of imputation was used on the ITT and FAS populations to assess the sensitivity of the results to the imputation of missing data: all patients with even one missing PCR result at EOT were </w:t>
      </w:r>
      <w:proofErr w:type="spellStart"/>
      <w:r w:rsidRPr="00DB6D42">
        <w:rPr>
          <w:rFonts w:cs="Arial"/>
          <w:bCs/>
          <w:szCs w:val="29"/>
          <w:lang w:val="en-US"/>
        </w:rPr>
        <w:t>analy</w:t>
      </w:r>
      <w:r w:rsidR="004649A5" w:rsidRPr="00DB6D42">
        <w:rPr>
          <w:rFonts w:cs="Arial"/>
          <w:bCs/>
          <w:szCs w:val="29"/>
          <w:lang w:val="en-US"/>
        </w:rPr>
        <w:t>s</w:t>
      </w:r>
      <w:r w:rsidRPr="00DB6D42">
        <w:rPr>
          <w:rFonts w:cs="Arial"/>
          <w:bCs/>
          <w:szCs w:val="29"/>
          <w:lang w:val="en-US"/>
        </w:rPr>
        <w:t>ed</w:t>
      </w:r>
      <w:proofErr w:type="spellEnd"/>
      <w:r w:rsidRPr="00DB6D42">
        <w:rPr>
          <w:rFonts w:cs="Arial"/>
          <w:bCs/>
          <w:szCs w:val="29"/>
          <w:lang w:val="en-US"/>
        </w:rPr>
        <w:t xml:space="preserve"> as failures (IMPUT2).</w:t>
      </w:r>
    </w:p>
    <w:p w14:paraId="1261BAB4" w14:textId="77777777" w:rsidR="00D8096A" w:rsidRPr="00DB6D42" w:rsidRDefault="005F7B62" w:rsidP="00BB5FF5">
      <w:pPr>
        <w:spacing w:line="360" w:lineRule="auto"/>
        <w:jc w:val="both"/>
        <w:rPr>
          <w:rFonts w:cs="Arial"/>
          <w:bCs/>
          <w:szCs w:val="29"/>
          <w:lang w:val="en-US"/>
        </w:rPr>
      </w:pPr>
      <w:r w:rsidRPr="00DB6D42">
        <w:rPr>
          <w:rFonts w:cs="Arial"/>
          <w:bCs/>
          <w:szCs w:val="29"/>
          <w:lang w:val="en-US"/>
        </w:rPr>
        <w:t xml:space="preserve">For demographics and baseline characteristics, descriptive statistics on both the PP and ITT populations were presented. Patient disposition and study discontinuations and their frequencies were tabulated. </w:t>
      </w:r>
    </w:p>
    <w:p w14:paraId="4A444D8D" w14:textId="69EE510F" w:rsidR="005F7B62" w:rsidRPr="00DB6D42" w:rsidRDefault="005F7B62" w:rsidP="00BB5FF5">
      <w:pPr>
        <w:spacing w:line="360" w:lineRule="auto"/>
        <w:jc w:val="both"/>
        <w:rPr>
          <w:rFonts w:cs="Arial"/>
          <w:bCs/>
          <w:szCs w:val="29"/>
          <w:lang w:val="en-US"/>
        </w:rPr>
      </w:pPr>
      <w:r w:rsidRPr="00DB6D42">
        <w:rPr>
          <w:rFonts w:cs="Arial"/>
          <w:bCs/>
          <w:szCs w:val="29"/>
          <w:lang w:val="en-US"/>
        </w:rPr>
        <w:lastRenderedPageBreak/>
        <w:t xml:space="preserve">The analysis </w:t>
      </w:r>
      <w:r w:rsidR="0029304D" w:rsidRPr="00DB6D42">
        <w:rPr>
          <w:rFonts w:cs="Arial"/>
          <w:bCs/>
          <w:szCs w:val="29"/>
          <w:lang w:val="en-US"/>
        </w:rPr>
        <w:t xml:space="preserve">of the primary endpoint </w:t>
      </w:r>
      <w:r w:rsidRPr="00DB6D42">
        <w:rPr>
          <w:rFonts w:cs="Arial"/>
          <w:bCs/>
          <w:szCs w:val="29"/>
          <w:lang w:val="en-US"/>
        </w:rPr>
        <w:t>used a</w:t>
      </w:r>
      <w:r w:rsidR="0029304D" w:rsidRPr="00DB6D42">
        <w:rPr>
          <w:rFonts w:cs="Arial"/>
          <w:bCs/>
          <w:szCs w:val="29"/>
          <w:lang w:val="en-US"/>
        </w:rPr>
        <w:t xml:space="preserve"> one-sided</w:t>
      </w:r>
      <w:r w:rsidRPr="00DB6D42">
        <w:rPr>
          <w:rFonts w:cs="Arial"/>
          <w:bCs/>
          <w:szCs w:val="29"/>
          <w:lang w:val="en-US"/>
        </w:rPr>
        <w:t xml:space="preserve"> Fisher</w:t>
      </w:r>
      <w:r w:rsidR="008C2810" w:rsidRPr="00DB6D42">
        <w:rPr>
          <w:rFonts w:cs="Arial"/>
          <w:bCs/>
          <w:szCs w:val="29"/>
          <w:lang w:val="en-US"/>
        </w:rPr>
        <w:t>’s</w:t>
      </w:r>
      <w:r w:rsidRPr="00DB6D42">
        <w:rPr>
          <w:rFonts w:cs="Arial"/>
          <w:bCs/>
          <w:szCs w:val="29"/>
          <w:lang w:val="en-US"/>
        </w:rPr>
        <w:t xml:space="preserve"> exact test of the proportion of ‘cured’ patients on the ITT </w:t>
      </w:r>
      <w:r w:rsidR="0029304D" w:rsidRPr="00DB6D42">
        <w:rPr>
          <w:rFonts w:cs="Arial"/>
          <w:bCs/>
          <w:szCs w:val="29"/>
          <w:lang w:val="en-US"/>
        </w:rPr>
        <w:t xml:space="preserve">(primary analysis), FAS and PP (secondary analysis) </w:t>
      </w:r>
      <w:r w:rsidRPr="00DB6D42">
        <w:rPr>
          <w:rFonts w:cs="Arial"/>
          <w:bCs/>
          <w:szCs w:val="29"/>
          <w:lang w:val="en-US"/>
        </w:rPr>
        <w:t>population</w:t>
      </w:r>
      <w:r w:rsidR="0029304D" w:rsidRPr="00DB6D42">
        <w:rPr>
          <w:rFonts w:cs="Arial"/>
          <w:bCs/>
          <w:szCs w:val="29"/>
          <w:lang w:val="en-US"/>
        </w:rPr>
        <w:t>s</w:t>
      </w:r>
      <w:r w:rsidR="0081432B" w:rsidRPr="00DB6D42">
        <w:rPr>
          <w:rFonts w:cs="Arial"/>
          <w:bCs/>
          <w:szCs w:val="29"/>
          <w:lang w:val="en-US"/>
        </w:rPr>
        <w:t xml:space="preserve"> </w:t>
      </w:r>
      <w:r w:rsidR="006D0EF0" w:rsidRPr="00DB6D42">
        <w:rPr>
          <w:rFonts w:cs="Arial"/>
          <w:bCs/>
          <w:szCs w:val="29"/>
          <w:lang w:val="en-US"/>
        </w:rPr>
        <w:t>to perform pairwise comparisons between treatment arms and placebo</w:t>
      </w:r>
      <w:r w:rsidRPr="00DB6D42">
        <w:rPr>
          <w:rFonts w:cs="Arial"/>
          <w:bCs/>
          <w:szCs w:val="29"/>
          <w:lang w:val="en-US"/>
        </w:rPr>
        <w:t>.</w:t>
      </w:r>
      <w:r w:rsidRPr="00DB6D42">
        <w:rPr>
          <w:rFonts w:cs="Arial"/>
          <w:bCs/>
          <w:color w:val="0000FF"/>
          <w:szCs w:val="29"/>
          <w:lang w:val="en-US"/>
        </w:rPr>
        <w:t xml:space="preserve"> </w:t>
      </w:r>
      <w:r w:rsidR="006D0EF0" w:rsidRPr="00DB6D42">
        <w:rPr>
          <w:lang w:val="en-US"/>
        </w:rPr>
        <w:t>Hochberg procedure</w:t>
      </w:r>
      <w:r w:rsidR="00FB79B6" w:rsidRPr="00DB6D42">
        <w:rPr>
          <w:vertAlign w:val="superscript"/>
          <w:lang w:val="en-US"/>
        </w:rPr>
        <w:t>17</w:t>
      </w:r>
      <w:r w:rsidR="006D0EF0" w:rsidRPr="00DB6D42">
        <w:rPr>
          <w:lang w:val="en-US"/>
        </w:rPr>
        <w:t xml:space="preserve"> was used to keep the global type I error at the 2.5% level and to address the multiplicity issue</w:t>
      </w:r>
      <w:r w:rsidR="006D0EF0" w:rsidRPr="00DB6D42">
        <w:rPr>
          <w:rFonts w:cs="Arial"/>
          <w:bCs/>
          <w:szCs w:val="29"/>
          <w:lang w:val="en-US"/>
        </w:rPr>
        <w:t xml:space="preserve">. </w:t>
      </w:r>
      <w:r w:rsidR="0029304D" w:rsidRPr="00DB6D42">
        <w:rPr>
          <w:rFonts w:cs="Arial"/>
          <w:bCs/>
          <w:szCs w:val="29"/>
          <w:lang w:val="en-US"/>
        </w:rPr>
        <w:t>Three sensitivity analyses were performed: (</w:t>
      </w:r>
      <w:proofErr w:type="spellStart"/>
      <w:r w:rsidR="0029304D" w:rsidRPr="00DB6D42">
        <w:rPr>
          <w:rFonts w:cs="Arial"/>
          <w:bCs/>
          <w:szCs w:val="29"/>
          <w:lang w:val="en-US"/>
        </w:rPr>
        <w:t>i</w:t>
      </w:r>
      <w:proofErr w:type="spellEnd"/>
      <w:r w:rsidR="0029304D" w:rsidRPr="00DB6D42">
        <w:rPr>
          <w:rFonts w:cs="Arial"/>
          <w:bCs/>
          <w:szCs w:val="29"/>
          <w:lang w:val="en-US"/>
        </w:rPr>
        <w:t xml:space="preserve">) ITT with </w:t>
      </w:r>
      <w:r w:rsidR="0096099E" w:rsidRPr="00DB6D42">
        <w:rPr>
          <w:rFonts w:cs="Arial"/>
          <w:bCs/>
          <w:szCs w:val="29"/>
          <w:lang w:val="en-US"/>
        </w:rPr>
        <w:t>strategy</w:t>
      </w:r>
      <w:r w:rsidR="0029304D" w:rsidRPr="00DB6D42">
        <w:rPr>
          <w:rFonts w:cs="Arial"/>
          <w:bCs/>
          <w:szCs w:val="29"/>
          <w:lang w:val="en-US"/>
        </w:rPr>
        <w:t xml:space="preserve"> IMPUT1, (ii) FAS and PP with strategy IMPUT2</w:t>
      </w:r>
      <w:r w:rsidR="004C1AE1" w:rsidRPr="00DB6D42">
        <w:rPr>
          <w:rFonts w:cs="Arial"/>
          <w:bCs/>
          <w:szCs w:val="29"/>
          <w:lang w:val="en-US"/>
        </w:rPr>
        <w:t>.</w:t>
      </w:r>
    </w:p>
    <w:p w14:paraId="335EE1C0" w14:textId="0E8AD6DA" w:rsidR="004866AB" w:rsidRPr="00DB6D42" w:rsidRDefault="005F7B62" w:rsidP="00BB5FF5">
      <w:pPr>
        <w:spacing w:line="360" w:lineRule="auto"/>
        <w:jc w:val="both"/>
        <w:rPr>
          <w:rFonts w:cs="Arial"/>
          <w:bCs/>
          <w:szCs w:val="29"/>
          <w:lang w:val="en-US"/>
        </w:rPr>
      </w:pPr>
      <w:r w:rsidRPr="00DB6D42">
        <w:rPr>
          <w:rFonts w:cs="Arial"/>
          <w:bCs/>
          <w:szCs w:val="29"/>
          <w:lang w:val="en-US"/>
        </w:rPr>
        <w:t>Secondar</w:t>
      </w:r>
      <w:r w:rsidR="004649A5" w:rsidRPr="00DB6D42">
        <w:rPr>
          <w:rFonts w:cs="Arial"/>
          <w:bCs/>
          <w:szCs w:val="29"/>
          <w:lang w:val="en-US"/>
        </w:rPr>
        <w:t xml:space="preserve">y efficacy endpoints were </w:t>
      </w:r>
      <w:proofErr w:type="spellStart"/>
      <w:r w:rsidR="004649A5" w:rsidRPr="00DB6D42">
        <w:rPr>
          <w:rFonts w:cs="Arial"/>
          <w:bCs/>
          <w:szCs w:val="29"/>
          <w:lang w:val="en-US"/>
        </w:rPr>
        <w:t>analys</w:t>
      </w:r>
      <w:r w:rsidRPr="00DB6D42">
        <w:rPr>
          <w:rFonts w:cs="Arial"/>
          <w:bCs/>
          <w:szCs w:val="29"/>
          <w:lang w:val="en-US"/>
        </w:rPr>
        <w:t>ed</w:t>
      </w:r>
      <w:proofErr w:type="spellEnd"/>
      <w:r w:rsidRPr="00DB6D42">
        <w:rPr>
          <w:rFonts w:cs="Arial"/>
          <w:bCs/>
          <w:szCs w:val="29"/>
          <w:lang w:val="en-US"/>
        </w:rPr>
        <w:t xml:space="preserve"> on both the ITT and PP </w:t>
      </w:r>
      <w:r w:rsidR="0081432B" w:rsidRPr="00DB6D42">
        <w:rPr>
          <w:rFonts w:cs="Arial"/>
          <w:bCs/>
          <w:szCs w:val="29"/>
          <w:lang w:val="en-US"/>
        </w:rPr>
        <w:t xml:space="preserve">as well as FAS (for most important endpoints) </w:t>
      </w:r>
      <w:r w:rsidR="0096099E" w:rsidRPr="00DB6D42">
        <w:rPr>
          <w:rFonts w:cs="Arial"/>
          <w:bCs/>
          <w:szCs w:val="29"/>
          <w:lang w:val="en-US"/>
        </w:rPr>
        <w:t>population</w:t>
      </w:r>
      <w:r w:rsidRPr="00DB6D42">
        <w:rPr>
          <w:rFonts w:cs="Arial"/>
          <w:bCs/>
          <w:szCs w:val="29"/>
          <w:lang w:val="en-US"/>
        </w:rPr>
        <w:t xml:space="preserve">s by treatment arm. </w:t>
      </w:r>
      <w:r w:rsidR="00274E46" w:rsidRPr="00DB6D42">
        <w:rPr>
          <w:rFonts w:cs="Arial"/>
          <w:bCs/>
          <w:szCs w:val="29"/>
          <w:lang w:val="en-US"/>
        </w:rPr>
        <w:t xml:space="preserve">Sustainability of parasitological clearance relative to placebo was </w:t>
      </w:r>
      <w:proofErr w:type="spellStart"/>
      <w:r w:rsidR="00274E46" w:rsidRPr="00DB6D42">
        <w:rPr>
          <w:rFonts w:cs="Arial"/>
          <w:bCs/>
          <w:szCs w:val="29"/>
          <w:lang w:val="en-US"/>
        </w:rPr>
        <w:t>analysed</w:t>
      </w:r>
      <w:proofErr w:type="spellEnd"/>
      <w:r w:rsidR="00274E46" w:rsidRPr="00DB6D42">
        <w:rPr>
          <w:rFonts w:cs="Arial"/>
          <w:bCs/>
          <w:szCs w:val="29"/>
          <w:lang w:val="en-US"/>
        </w:rPr>
        <w:t xml:space="preserve"> at 12 months with a Fisher exact test. </w:t>
      </w:r>
      <w:r w:rsidR="004866AB" w:rsidRPr="00DB6D42">
        <w:rPr>
          <w:rFonts w:cs="Arial"/>
          <w:bCs/>
          <w:szCs w:val="29"/>
          <w:lang w:val="en-US"/>
        </w:rPr>
        <w:t>Repeated measures model contrasts (dependent variable:  parasite at all available timepoints / treatment arm as fixed effect) were used to evaluate the reduction in parasite load over time at EOT and at 4, 6 and 12 months of follow-up.</w:t>
      </w:r>
    </w:p>
    <w:p w14:paraId="5A074DAD" w14:textId="2C2BE232" w:rsidR="00274E46" w:rsidRPr="00DB6D42" w:rsidRDefault="00892008" w:rsidP="00BB5FF5">
      <w:pPr>
        <w:spacing w:line="360" w:lineRule="auto"/>
        <w:jc w:val="both"/>
        <w:rPr>
          <w:rFonts w:cs="Arial"/>
          <w:bCs/>
          <w:szCs w:val="29"/>
          <w:lang w:val="en-US"/>
        </w:rPr>
      </w:pPr>
      <w:r w:rsidRPr="00DB6D42">
        <w:rPr>
          <w:rFonts w:cs="Arial"/>
          <w:bCs/>
          <w:szCs w:val="29"/>
          <w:lang w:val="en-US"/>
        </w:rPr>
        <w:t>The time to parasite clearance and the t</w:t>
      </w:r>
      <w:r w:rsidR="00274E46" w:rsidRPr="00DB6D42">
        <w:rPr>
          <w:rFonts w:cs="Arial"/>
          <w:bCs/>
          <w:szCs w:val="29"/>
          <w:lang w:val="en-US"/>
        </w:rPr>
        <w:t xml:space="preserve">ime to </w:t>
      </w:r>
      <w:r w:rsidR="00465BBA" w:rsidRPr="00DB6D42">
        <w:rPr>
          <w:rFonts w:cs="Arial"/>
          <w:bCs/>
          <w:szCs w:val="29"/>
          <w:lang w:val="en-US"/>
        </w:rPr>
        <w:t>first relapse</w:t>
      </w:r>
      <w:r w:rsidR="00274E46" w:rsidRPr="00DB6D42">
        <w:rPr>
          <w:rFonts w:cs="Arial"/>
          <w:bCs/>
          <w:szCs w:val="29"/>
          <w:lang w:val="en-US"/>
        </w:rPr>
        <w:t xml:space="preserve"> for patients who had cleared </w:t>
      </w:r>
      <w:proofErr w:type="spellStart"/>
      <w:r w:rsidR="00274E46" w:rsidRPr="00DB6D42">
        <w:rPr>
          <w:rFonts w:cs="Arial"/>
          <w:bCs/>
          <w:szCs w:val="29"/>
          <w:lang w:val="en-US"/>
        </w:rPr>
        <w:t>parasit</w:t>
      </w:r>
      <w:r w:rsidR="002C249F" w:rsidRPr="00DB6D42">
        <w:rPr>
          <w:rFonts w:cs="Arial"/>
          <w:bCs/>
          <w:szCs w:val="29"/>
          <w:lang w:val="en-US"/>
        </w:rPr>
        <w:t>a</w:t>
      </w:r>
      <w:r w:rsidR="00274E46" w:rsidRPr="00DB6D42">
        <w:rPr>
          <w:rFonts w:cs="Arial"/>
          <w:bCs/>
          <w:szCs w:val="29"/>
          <w:lang w:val="en-US"/>
        </w:rPr>
        <w:t>emia</w:t>
      </w:r>
      <w:proofErr w:type="spellEnd"/>
      <w:r w:rsidR="00274E46" w:rsidRPr="00DB6D42">
        <w:rPr>
          <w:rFonts w:cs="Arial"/>
          <w:bCs/>
          <w:szCs w:val="29"/>
          <w:lang w:val="en-US"/>
        </w:rPr>
        <w:t xml:space="preserve"> at EOT w</w:t>
      </w:r>
      <w:r w:rsidRPr="00DB6D42">
        <w:rPr>
          <w:rFonts w:cs="Arial"/>
          <w:bCs/>
          <w:szCs w:val="29"/>
          <w:lang w:val="en-US"/>
        </w:rPr>
        <w:t>ere</w:t>
      </w:r>
      <w:r w:rsidR="00274E46" w:rsidRPr="00DB6D42">
        <w:rPr>
          <w:rFonts w:cs="Arial"/>
          <w:bCs/>
          <w:szCs w:val="29"/>
          <w:lang w:val="en-US"/>
        </w:rPr>
        <w:t xml:space="preserve"> evaluated by using the Kaplan-Meier survival method with a </w:t>
      </w:r>
      <w:proofErr w:type="spellStart"/>
      <w:r w:rsidR="00274E46" w:rsidRPr="00DB6D42">
        <w:rPr>
          <w:rFonts w:cs="Arial"/>
          <w:bCs/>
          <w:szCs w:val="29"/>
          <w:lang w:val="en-US"/>
        </w:rPr>
        <w:t>Logrank</w:t>
      </w:r>
      <w:proofErr w:type="spellEnd"/>
      <w:r w:rsidR="00274E46" w:rsidRPr="00DB6D42">
        <w:rPr>
          <w:rFonts w:cs="Arial"/>
          <w:bCs/>
          <w:szCs w:val="29"/>
          <w:lang w:val="en-US"/>
        </w:rPr>
        <w:t xml:space="preserve"> test. All tests were performed pa</w:t>
      </w:r>
      <w:r w:rsidR="00A11ACD" w:rsidRPr="00DB6D42">
        <w:rPr>
          <w:rFonts w:cs="Arial"/>
          <w:bCs/>
          <w:szCs w:val="29"/>
          <w:lang w:val="en-US"/>
        </w:rPr>
        <w:t>i</w:t>
      </w:r>
      <w:r w:rsidR="00274E46" w:rsidRPr="00DB6D42">
        <w:rPr>
          <w:rFonts w:cs="Arial"/>
          <w:bCs/>
          <w:szCs w:val="29"/>
          <w:lang w:val="en-US"/>
        </w:rPr>
        <w:t xml:space="preserve">rwise and a Hochberg procedure for the </w:t>
      </w:r>
      <w:r w:rsidRPr="00DB6D42">
        <w:rPr>
          <w:rFonts w:cs="Arial"/>
          <w:bCs/>
          <w:szCs w:val="29"/>
          <w:lang w:val="en-US"/>
        </w:rPr>
        <w:t>4</w:t>
      </w:r>
      <w:r w:rsidR="00274E46" w:rsidRPr="00DB6D42">
        <w:rPr>
          <w:rFonts w:cs="Arial"/>
          <w:bCs/>
          <w:szCs w:val="29"/>
          <w:lang w:val="en-US"/>
        </w:rPr>
        <w:t xml:space="preserve"> comparisons of E1224 </w:t>
      </w:r>
      <w:r w:rsidRPr="00DB6D42">
        <w:rPr>
          <w:rFonts w:cs="Arial"/>
          <w:bCs/>
          <w:szCs w:val="29"/>
          <w:lang w:val="en-US"/>
        </w:rPr>
        <w:t xml:space="preserve">and BZN </w:t>
      </w:r>
      <w:r w:rsidR="00274E46" w:rsidRPr="00DB6D42">
        <w:rPr>
          <w:rFonts w:cs="Arial"/>
          <w:bCs/>
          <w:szCs w:val="29"/>
          <w:lang w:val="en-US"/>
        </w:rPr>
        <w:t xml:space="preserve">arms to placebo was used. </w:t>
      </w:r>
      <w:r w:rsidR="00465BBA" w:rsidRPr="00DB6D42">
        <w:rPr>
          <w:rFonts w:cs="Arial"/>
          <w:bCs/>
          <w:szCs w:val="29"/>
          <w:lang w:val="en-US"/>
        </w:rPr>
        <w:t xml:space="preserve">Modeling of the time to first relapse was carried out with a proportional hazard Cox model and a backward stepwise procedure including </w:t>
      </w:r>
      <w:r w:rsidR="00A11ACD" w:rsidRPr="00DB6D42">
        <w:rPr>
          <w:rFonts w:cs="Arial"/>
          <w:bCs/>
          <w:szCs w:val="29"/>
          <w:lang w:val="en-US"/>
        </w:rPr>
        <w:t>a</w:t>
      </w:r>
      <w:r w:rsidR="00465BBA" w:rsidRPr="00DB6D42">
        <w:rPr>
          <w:rFonts w:cs="Arial"/>
          <w:bCs/>
          <w:szCs w:val="29"/>
          <w:lang w:val="en-US"/>
        </w:rPr>
        <w:t xml:space="preserve">ge, </w:t>
      </w:r>
      <w:r w:rsidR="00A11ACD" w:rsidRPr="00DB6D42">
        <w:rPr>
          <w:rFonts w:cs="Arial"/>
          <w:bCs/>
          <w:szCs w:val="29"/>
          <w:lang w:val="en-US"/>
        </w:rPr>
        <w:t>s</w:t>
      </w:r>
      <w:r w:rsidR="00465BBA" w:rsidRPr="00DB6D42">
        <w:rPr>
          <w:rFonts w:cs="Arial"/>
          <w:bCs/>
          <w:szCs w:val="29"/>
          <w:lang w:val="en-US"/>
        </w:rPr>
        <w:t xml:space="preserve">ex, </w:t>
      </w:r>
      <w:r w:rsidR="00A11ACD" w:rsidRPr="00DB6D42">
        <w:rPr>
          <w:rFonts w:cs="Arial"/>
          <w:bCs/>
          <w:szCs w:val="29"/>
          <w:lang w:val="en-US"/>
        </w:rPr>
        <w:t>s</w:t>
      </w:r>
      <w:r w:rsidR="00465BBA" w:rsidRPr="00DB6D42">
        <w:rPr>
          <w:rFonts w:cs="Arial"/>
          <w:bCs/>
          <w:szCs w:val="29"/>
          <w:lang w:val="en-US"/>
        </w:rPr>
        <w:t xml:space="preserve">erological markers and biomarkers. </w:t>
      </w:r>
      <w:r w:rsidR="00051A0A" w:rsidRPr="00DB6D42">
        <w:rPr>
          <w:rFonts w:cs="Arial"/>
          <w:bCs/>
          <w:szCs w:val="29"/>
          <w:lang w:val="en-US"/>
        </w:rPr>
        <w:t xml:space="preserve">Serology markers data were </w:t>
      </w:r>
      <w:r w:rsidR="00B803C0" w:rsidRPr="00DB6D42">
        <w:rPr>
          <w:rFonts w:cs="Arial"/>
          <w:bCs/>
          <w:szCs w:val="29"/>
          <w:lang w:val="en-US"/>
        </w:rPr>
        <w:t>transformed</w:t>
      </w:r>
      <w:r w:rsidR="00051A0A" w:rsidRPr="00DB6D42">
        <w:rPr>
          <w:rFonts w:cs="Arial"/>
          <w:bCs/>
          <w:szCs w:val="29"/>
          <w:lang w:val="en-US"/>
        </w:rPr>
        <w:t xml:space="preserve"> by using geometric mean ratios </w:t>
      </w:r>
      <w:r w:rsidR="00B803C0" w:rsidRPr="00DB6D42">
        <w:rPr>
          <w:rFonts w:cs="Arial"/>
          <w:bCs/>
          <w:szCs w:val="29"/>
          <w:lang w:val="en-US"/>
        </w:rPr>
        <w:t xml:space="preserve">at each timepoint and a repeated measure linear model </w:t>
      </w:r>
      <w:r w:rsidR="00182F07" w:rsidRPr="00DB6D42">
        <w:rPr>
          <w:rFonts w:cs="Arial"/>
          <w:bCs/>
          <w:szCs w:val="29"/>
          <w:lang w:val="en-US"/>
        </w:rPr>
        <w:t>was used.</w:t>
      </w:r>
    </w:p>
    <w:p w14:paraId="653BD843" w14:textId="2A915F59" w:rsidR="00C83449" w:rsidRPr="00DB6D42" w:rsidRDefault="00C83449" w:rsidP="00BB5FF5">
      <w:pPr>
        <w:spacing w:line="360" w:lineRule="auto"/>
        <w:jc w:val="both"/>
        <w:rPr>
          <w:rFonts w:cs="Arial"/>
          <w:bCs/>
          <w:szCs w:val="29"/>
          <w:lang w:val="en-US"/>
        </w:rPr>
      </w:pPr>
      <w:r w:rsidRPr="00DB6D42">
        <w:rPr>
          <w:rFonts w:cs="Arial"/>
          <w:bCs/>
          <w:szCs w:val="29"/>
          <w:lang w:val="en-US"/>
        </w:rPr>
        <w:t>Safety analy</w:t>
      </w:r>
      <w:r w:rsidR="004649A5" w:rsidRPr="00DB6D42">
        <w:rPr>
          <w:rFonts w:cs="Arial"/>
          <w:bCs/>
          <w:szCs w:val="29"/>
          <w:lang w:val="en-US"/>
        </w:rPr>
        <w:t>s</w:t>
      </w:r>
      <w:r w:rsidRPr="00DB6D42">
        <w:rPr>
          <w:rFonts w:cs="Arial"/>
          <w:bCs/>
          <w:szCs w:val="29"/>
          <w:lang w:val="en-US"/>
        </w:rPr>
        <w:t xml:space="preserve">es were conducted on the SAF population. Numbers and percentages of patients with at least one reported adverse event (AE) and number of events were </w:t>
      </w:r>
      <w:r w:rsidR="00EE4AAF" w:rsidRPr="00DB6D42">
        <w:rPr>
          <w:rFonts w:cs="Arial"/>
          <w:bCs/>
          <w:szCs w:val="29"/>
          <w:lang w:val="en-US"/>
        </w:rPr>
        <w:t xml:space="preserve">evaluated and </w:t>
      </w:r>
      <w:r w:rsidRPr="00DB6D42">
        <w:rPr>
          <w:rFonts w:cs="Arial"/>
          <w:bCs/>
          <w:szCs w:val="29"/>
          <w:lang w:val="en-US"/>
        </w:rPr>
        <w:t>tabulated by treatment group for: all TEAEs; all TEAEs judged “related” to the treatment; TEAEs leading to drug discontinuation; all TE-SAEs; all TE-SAEs judged “related” to the treatment; and all SAEs; All Deaths. Confidence intervals of proportions (exact two sided 95%) were calculated for each system organ class and for preferred terms with a prevalence of more than 10% in any study arm.</w:t>
      </w:r>
    </w:p>
    <w:p w14:paraId="43E46A31" w14:textId="2603A23D" w:rsidR="00051A0A" w:rsidRPr="00DB6D42" w:rsidRDefault="00051A0A" w:rsidP="00BB5FF5">
      <w:pPr>
        <w:spacing w:line="360" w:lineRule="auto"/>
        <w:jc w:val="both"/>
        <w:rPr>
          <w:rFonts w:cs="Arial"/>
          <w:bCs/>
          <w:szCs w:val="29"/>
          <w:lang w:val="en-US"/>
        </w:rPr>
      </w:pPr>
      <w:r w:rsidRPr="00DB6D42">
        <w:rPr>
          <w:rFonts w:cs="Arial"/>
          <w:bCs/>
          <w:szCs w:val="29"/>
          <w:lang w:val="en-US"/>
        </w:rPr>
        <w:t xml:space="preserve">Laboratory safety variables were </w:t>
      </w:r>
      <w:proofErr w:type="spellStart"/>
      <w:r w:rsidRPr="00DB6D42">
        <w:rPr>
          <w:rFonts w:cs="Arial"/>
          <w:bCs/>
          <w:szCs w:val="29"/>
          <w:lang w:val="en-US"/>
        </w:rPr>
        <w:t>analy</w:t>
      </w:r>
      <w:r w:rsidR="004649A5" w:rsidRPr="00DB6D42">
        <w:rPr>
          <w:rFonts w:cs="Arial"/>
          <w:bCs/>
          <w:szCs w:val="29"/>
          <w:lang w:val="en-US"/>
        </w:rPr>
        <w:t>s</w:t>
      </w:r>
      <w:r w:rsidRPr="00DB6D42">
        <w:rPr>
          <w:rFonts w:cs="Arial"/>
          <w:bCs/>
          <w:szCs w:val="29"/>
          <w:lang w:val="en-US"/>
        </w:rPr>
        <w:t>ed</w:t>
      </w:r>
      <w:proofErr w:type="spellEnd"/>
      <w:r w:rsidRPr="00DB6D42">
        <w:rPr>
          <w:rFonts w:cs="Arial"/>
          <w:bCs/>
          <w:szCs w:val="29"/>
          <w:lang w:val="en-US"/>
        </w:rPr>
        <w:t xml:space="preserve"> as mean changes from baseline with each timepoint up to D65</w:t>
      </w:r>
      <w:r w:rsidR="001C2ACD" w:rsidRPr="00DB6D42">
        <w:rPr>
          <w:rFonts w:cs="Arial"/>
          <w:bCs/>
          <w:szCs w:val="29"/>
          <w:lang w:val="en-US"/>
        </w:rPr>
        <w:t xml:space="preserve"> (</w:t>
      </w:r>
      <w:r w:rsidR="00190CC7" w:rsidRPr="00DB6D42">
        <w:rPr>
          <w:rFonts w:cs="Arial"/>
          <w:bCs/>
          <w:szCs w:val="29"/>
          <w:lang w:val="en-US"/>
        </w:rPr>
        <w:t>refer to s</w:t>
      </w:r>
      <w:r w:rsidR="001C2ACD" w:rsidRPr="00DB6D42">
        <w:rPr>
          <w:rFonts w:cs="Arial"/>
          <w:bCs/>
          <w:szCs w:val="29"/>
          <w:lang w:val="en-US"/>
        </w:rPr>
        <w:t xml:space="preserve">upplementary </w:t>
      </w:r>
      <w:r w:rsidR="00190CC7" w:rsidRPr="00DB6D42">
        <w:rPr>
          <w:rFonts w:cs="Arial"/>
          <w:bCs/>
          <w:szCs w:val="29"/>
          <w:lang w:val="en-US"/>
        </w:rPr>
        <w:t>material</w:t>
      </w:r>
      <w:r w:rsidR="0049231B" w:rsidRPr="00DB6D42">
        <w:rPr>
          <w:rFonts w:cs="Arial"/>
          <w:bCs/>
          <w:szCs w:val="29"/>
          <w:lang w:val="en-US"/>
        </w:rPr>
        <w:t>)</w:t>
      </w:r>
      <w:r w:rsidR="00B803C0" w:rsidRPr="00DB6D42">
        <w:rPr>
          <w:rFonts w:cs="Arial"/>
          <w:bCs/>
          <w:szCs w:val="29"/>
          <w:lang w:val="en-US"/>
        </w:rPr>
        <w:t xml:space="preserve">. </w:t>
      </w:r>
      <w:r w:rsidRPr="00DB6D42">
        <w:rPr>
          <w:rFonts w:cs="Arial"/>
          <w:bCs/>
          <w:szCs w:val="29"/>
          <w:lang w:val="en-US"/>
        </w:rPr>
        <w:t xml:space="preserve">EKG outcomes (ventricular rate (VR), PR interval, RR interval, QRS interval, QT interval, </w:t>
      </w:r>
      <w:proofErr w:type="spellStart"/>
      <w:r w:rsidRPr="00DB6D42">
        <w:rPr>
          <w:rFonts w:cs="Arial"/>
          <w:bCs/>
          <w:szCs w:val="29"/>
          <w:lang w:val="en-US"/>
        </w:rPr>
        <w:t>QTcF</w:t>
      </w:r>
      <w:proofErr w:type="spellEnd"/>
      <w:r w:rsidRPr="00DB6D42">
        <w:rPr>
          <w:rFonts w:cs="Arial"/>
          <w:bCs/>
          <w:szCs w:val="29"/>
          <w:lang w:val="en-US"/>
        </w:rPr>
        <w:t xml:space="preserve"> and QTcB) were described and </w:t>
      </w:r>
      <w:proofErr w:type="spellStart"/>
      <w:r w:rsidRPr="00DB6D42">
        <w:rPr>
          <w:rFonts w:cs="Arial"/>
          <w:bCs/>
          <w:szCs w:val="29"/>
          <w:lang w:val="en-US"/>
        </w:rPr>
        <w:t>analysed</w:t>
      </w:r>
      <w:proofErr w:type="spellEnd"/>
      <w:r w:rsidRPr="00DB6D42">
        <w:rPr>
          <w:rFonts w:cs="Arial"/>
          <w:bCs/>
          <w:szCs w:val="29"/>
          <w:lang w:val="en-US"/>
        </w:rPr>
        <w:t xml:space="preserve"> as mean changes from the last pre-baseline ECG with each timepoint up to 4M</w:t>
      </w:r>
      <w:r w:rsidR="0049231B" w:rsidRPr="00DB6D42">
        <w:rPr>
          <w:rFonts w:cs="Arial"/>
          <w:bCs/>
          <w:szCs w:val="29"/>
          <w:lang w:val="en-US"/>
        </w:rPr>
        <w:t xml:space="preserve"> (</w:t>
      </w:r>
      <w:r w:rsidR="00190CC7" w:rsidRPr="00DB6D42">
        <w:rPr>
          <w:rFonts w:cs="Arial"/>
          <w:bCs/>
          <w:szCs w:val="29"/>
          <w:lang w:val="en-US"/>
        </w:rPr>
        <w:t xml:space="preserve">refer to </w:t>
      </w:r>
      <w:r w:rsidR="0049231B" w:rsidRPr="00DB6D42">
        <w:rPr>
          <w:rFonts w:cs="Arial"/>
          <w:bCs/>
          <w:szCs w:val="29"/>
          <w:lang w:val="en-US"/>
        </w:rPr>
        <w:t xml:space="preserve">supplementary </w:t>
      </w:r>
      <w:r w:rsidR="00190CC7" w:rsidRPr="00DB6D42">
        <w:rPr>
          <w:rFonts w:cs="Arial"/>
          <w:bCs/>
          <w:szCs w:val="29"/>
          <w:lang w:val="en-US"/>
        </w:rPr>
        <w:t>material</w:t>
      </w:r>
      <w:r w:rsidR="0049231B" w:rsidRPr="00DB6D42">
        <w:rPr>
          <w:rFonts w:cs="Arial"/>
          <w:bCs/>
          <w:szCs w:val="29"/>
          <w:lang w:val="en-US"/>
        </w:rPr>
        <w:t>)</w:t>
      </w:r>
      <w:r w:rsidRPr="00DB6D42">
        <w:rPr>
          <w:rFonts w:cs="Arial"/>
          <w:bCs/>
          <w:szCs w:val="29"/>
          <w:lang w:val="en-US"/>
        </w:rPr>
        <w:t xml:space="preserve">. </w:t>
      </w:r>
    </w:p>
    <w:p w14:paraId="6F46F76D" w14:textId="0533281C" w:rsidR="00713B79" w:rsidRPr="00DB6D42" w:rsidRDefault="00AD4AE3" w:rsidP="00BB5FF5">
      <w:pPr>
        <w:spacing w:line="360" w:lineRule="auto"/>
        <w:jc w:val="both"/>
        <w:rPr>
          <w:rFonts w:cs="Arial"/>
          <w:bCs/>
          <w:szCs w:val="29"/>
          <w:lang w:val="en-US"/>
        </w:rPr>
      </w:pPr>
      <w:r w:rsidRPr="00DB6D42">
        <w:rPr>
          <w:rFonts w:cs="Arial"/>
          <w:bCs/>
          <w:szCs w:val="29"/>
          <w:lang w:val="en-US"/>
        </w:rPr>
        <w:t>A population PK analysis was performed on time-log-concentration data by using a two-compartmental model. Due to sparse data</w:t>
      </w:r>
      <w:r w:rsidR="009838B4" w:rsidRPr="00DB6D42">
        <w:rPr>
          <w:rFonts w:cs="Arial"/>
          <w:bCs/>
          <w:szCs w:val="29"/>
          <w:lang w:val="en-US"/>
        </w:rPr>
        <w:t>,</w:t>
      </w:r>
      <w:r w:rsidRPr="00DB6D42">
        <w:rPr>
          <w:rFonts w:cs="Arial"/>
          <w:bCs/>
          <w:szCs w:val="29"/>
          <w:lang w:val="en-US"/>
        </w:rPr>
        <w:t xml:space="preserve"> </w:t>
      </w:r>
      <w:r w:rsidR="009320D0" w:rsidRPr="00DB6D42">
        <w:rPr>
          <w:rFonts w:cs="Arial"/>
          <w:bCs/>
          <w:szCs w:val="29"/>
          <w:lang w:val="en-US"/>
        </w:rPr>
        <w:t xml:space="preserve">a model based simulation was used to </w:t>
      </w:r>
      <w:r w:rsidR="009320D0" w:rsidRPr="00DB6D42">
        <w:rPr>
          <w:rFonts w:cs="Arial"/>
          <w:bCs/>
          <w:szCs w:val="29"/>
          <w:lang w:val="en-US"/>
        </w:rPr>
        <w:lastRenderedPageBreak/>
        <w:t>estimate total AUC and AUC at steady state.</w:t>
      </w:r>
      <w:r w:rsidR="00611CB7" w:rsidRPr="00DB6D42">
        <w:rPr>
          <w:rFonts w:cs="Arial"/>
          <w:bCs/>
          <w:szCs w:val="29"/>
          <w:lang w:val="en-US"/>
        </w:rPr>
        <w:t xml:space="preserve"> </w:t>
      </w:r>
      <w:r w:rsidR="00713B79" w:rsidRPr="00DB6D42">
        <w:rPr>
          <w:rFonts w:cs="Arial"/>
          <w:bCs/>
          <w:szCs w:val="29"/>
          <w:lang w:val="en-US"/>
        </w:rPr>
        <w:t xml:space="preserve">A PK/PD analysis dataset was created based on qPCR measurements obtained from patients treated with E1224. Positive but not quantified PCR measurements were imputed by </w:t>
      </w:r>
      <w:proofErr w:type="spellStart"/>
      <w:r w:rsidR="00713B79" w:rsidRPr="00DB6D42">
        <w:rPr>
          <w:rFonts w:cs="Arial"/>
          <w:bCs/>
          <w:szCs w:val="29"/>
          <w:lang w:val="en-US"/>
        </w:rPr>
        <w:t>LoQ</w:t>
      </w:r>
      <w:proofErr w:type="spellEnd"/>
      <w:r w:rsidR="00713B79" w:rsidRPr="00DB6D42">
        <w:rPr>
          <w:rFonts w:cs="Arial"/>
          <w:bCs/>
          <w:szCs w:val="29"/>
          <w:lang w:val="en-US"/>
        </w:rPr>
        <w:t xml:space="preserve">/2. Negative PCR measurements were imputed by </w:t>
      </w:r>
      <w:proofErr w:type="spellStart"/>
      <w:r w:rsidR="00713B79" w:rsidRPr="00DB6D42">
        <w:rPr>
          <w:rFonts w:cs="Arial"/>
          <w:bCs/>
          <w:szCs w:val="29"/>
          <w:lang w:val="en-US"/>
        </w:rPr>
        <w:t>LoD</w:t>
      </w:r>
      <w:proofErr w:type="spellEnd"/>
      <w:r w:rsidR="00713B79" w:rsidRPr="00DB6D42">
        <w:rPr>
          <w:rFonts w:cs="Arial"/>
          <w:bCs/>
          <w:szCs w:val="29"/>
          <w:lang w:val="en-US"/>
        </w:rPr>
        <w:t xml:space="preserve">/2. </w:t>
      </w:r>
    </w:p>
    <w:p w14:paraId="6DAC30B1" w14:textId="3E0F89E8" w:rsidR="00713B79" w:rsidRPr="00DB6D42" w:rsidRDefault="00713B79" w:rsidP="00BB5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360" w:lineRule="auto"/>
        <w:jc w:val="both"/>
      </w:pPr>
      <w:r w:rsidRPr="00DB6D42">
        <w:t xml:space="preserve">A semi-mechanistic PK/PD model was developed to adequately describe the observed time course of (quantitative and qualitative) PCR following treatment with E1224. Individual estimated PK parameters were based on a previous population-PK analysis. The model consisted of an indirect response component describing the parasite load based on exposure-dependent parasite proliferation rate and a constant parasite clearance, in combination with a mixture component categorizing patients as sustained responders or </w:t>
      </w:r>
      <w:proofErr w:type="spellStart"/>
      <w:r w:rsidRPr="00DB6D42">
        <w:t>relapsers</w:t>
      </w:r>
      <w:proofErr w:type="spellEnd"/>
      <w:r w:rsidRPr="00DB6D42">
        <w:t>.</w:t>
      </w:r>
    </w:p>
    <w:p w14:paraId="53ACCA27" w14:textId="172030E5" w:rsidR="00FE3F12" w:rsidRPr="00DB6D42" w:rsidRDefault="00FE3F12" w:rsidP="00BB5FF5">
      <w:pPr>
        <w:spacing w:line="360" w:lineRule="auto"/>
        <w:jc w:val="both"/>
        <w:rPr>
          <w:rFonts w:cs="Arial"/>
          <w:bCs/>
          <w:szCs w:val="29"/>
          <w:lang w:val="en-US"/>
        </w:rPr>
      </w:pPr>
      <w:r w:rsidRPr="00DB6D42">
        <w:rPr>
          <w:rFonts w:cs="Arial"/>
          <w:bCs/>
          <w:szCs w:val="29"/>
          <w:lang w:val="en-US"/>
        </w:rPr>
        <w:t>Statistical tests were one-sided for analyses on the primary endpoint and two-sided for all other analyses. A p-value below 0</w:t>
      </w:r>
      <w:r w:rsidR="0031071F" w:rsidRPr="00DB6D42">
        <w:rPr>
          <w:lang w:val="en-US"/>
        </w:rPr>
        <w:t>·</w:t>
      </w:r>
      <w:r w:rsidRPr="00DB6D42">
        <w:rPr>
          <w:rFonts w:cs="Arial"/>
          <w:bCs/>
          <w:szCs w:val="29"/>
          <w:lang w:val="en-US"/>
        </w:rPr>
        <w:t>025 (one-sided) or 0</w:t>
      </w:r>
      <w:r w:rsidR="0031071F" w:rsidRPr="00DB6D42">
        <w:rPr>
          <w:lang w:val="en-US"/>
        </w:rPr>
        <w:t>·</w:t>
      </w:r>
      <w:r w:rsidRPr="00DB6D42">
        <w:rPr>
          <w:rFonts w:cs="Arial"/>
          <w:bCs/>
          <w:szCs w:val="29"/>
          <w:lang w:val="en-US"/>
        </w:rPr>
        <w:t>05 (two-sided) was c</w:t>
      </w:r>
      <w:r w:rsidR="0031071F" w:rsidRPr="00DB6D42">
        <w:rPr>
          <w:rFonts w:cs="Arial"/>
          <w:bCs/>
          <w:szCs w:val="29"/>
          <w:lang w:val="en-US"/>
        </w:rPr>
        <w:t>onsidered</w:t>
      </w:r>
      <w:r w:rsidRPr="00DB6D42">
        <w:rPr>
          <w:rFonts w:cs="Arial"/>
          <w:bCs/>
          <w:szCs w:val="29"/>
          <w:lang w:val="en-US"/>
        </w:rPr>
        <w:t xml:space="preserve"> significant. All analyses were performed by using the SAS software V9.4 (SAS Institute, Cary, NC, USA)</w:t>
      </w:r>
      <w:r w:rsidR="00190CC7" w:rsidRPr="00DB6D42">
        <w:rPr>
          <w:rFonts w:cs="Arial"/>
          <w:bCs/>
          <w:szCs w:val="29"/>
          <w:lang w:val="en-US"/>
        </w:rPr>
        <w:t>.</w:t>
      </w:r>
    </w:p>
    <w:p w14:paraId="6045CE93" w14:textId="25BEC046" w:rsidR="00190CC7" w:rsidRPr="00DB6D42" w:rsidRDefault="00190CC7" w:rsidP="00BB5FF5">
      <w:pPr>
        <w:pStyle w:val="ListParagraph"/>
        <w:spacing w:line="360" w:lineRule="auto"/>
        <w:ind w:left="0"/>
        <w:jc w:val="both"/>
        <w:rPr>
          <w:rFonts w:ascii="Arial" w:eastAsia="Times New Roman" w:hAnsi="Arial" w:cs="Arial"/>
          <w:bCs/>
          <w:szCs w:val="29"/>
          <w:lang w:val="en-US" w:eastAsia="ja-JP"/>
        </w:rPr>
      </w:pPr>
      <w:r w:rsidRPr="00DB6D42">
        <w:rPr>
          <w:rFonts w:ascii="Arial" w:eastAsia="Times New Roman" w:hAnsi="Arial" w:cs="Arial"/>
          <w:bCs/>
          <w:szCs w:val="29"/>
          <w:lang w:val="en-US" w:eastAsia="ja-JP"/>
        </w:rPr>
        <w:t>An interim blinded efficacy analysis of sustained parasitologic</w:t>
      </w:r>
      <w:r w:rsidR="00C072CE" w:rsidRPr="00DB6D42">
        <w:rPr>
          <w:rFonts w:ascii="Arial" w:eastAsia="Times New Roman" w:hAnsi="Arial" w:cs="Arial"/>
          <w:bCs/>
          <w:szCs w:val="29"/>
          <w:lang w:val="en-US" w:eastAsia="ja-JP"/>
        </w:rPr>
        <w:t>al</w:t>
      </w:r>
      <w:r w:rsidRPr="00DB6D42">
        <w:rPr>
          <w:rFonts w:ascii="Arial" w:eastAsia="Times New Roman" w:hAnsi="Arial" w:cs="Arial"/>
          <w:bCs/>
          <w:szCs w:val="29"/>
          <w:lang w:val="en-US" w:eastAsia="ja-JP"/>
        </w:rPr>
        <w:t xml:space="preserve"> response on all patients at 6 months was performed to allow administrative decisions of the sponsor by an independent statistician. The principal Investigator and study personnel remained unequivocally blinded until database lock.</w:t>
      </w:r>
    </w:p>
    <w:p w14:paraId="41C9D827" w14:textId="77777777" w:rsidR="00190CC7" w:rsidRPr="00DB6D42" w:rsidRDefault="00190CC7" w:rsidP="00BB5FF5">
      <w:pPr>
        <w:spacing w:line="360" w:lineRule="auto"/>
        <w:jc w:val="both"/>
        <w:rPr>
          <w:rFonts w:cs="Arial"/>
          <w:bCs/>
          <w:szCs w:val="29"/>
          <w:lang w:val="en-US"/>
        </w:rPr>
      </w:pPr>
    </w:p>
    <w:p w14:paraId="30192D86" w14:textId="39301878" w:rsidR="0085786C" w:rsidRPr="00DB6D42" w:rsidRDefault="0085786C" w:rsidP="00BB5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670"/>
          <w:tab w:val="left" w:pos="6160"/>
          <w:tab w:val="left" w:pos="6720"/>
        </w:tabs>
        <w:autoSpaceDE w:val="0"/>
        <w:autoSpaceDN w:val="0"/>
        <w:adjustRightInd w:val="0"/>
        <w:spacing w:before="80" w:after="80" w:line="360" w:lineRule="auto"/>
        <w:jc w:val="both"/>
        <w:rPr>
          <w:rFonts w:cs="Arial"/>
          <w:b/>
          <w:bCs/>
          <w:i/>
          <w:color w:val="000000"/>
          <w:szCs w:val="29"/>
          <w:lang w:val="en-US"/>
        </w:rPr>
      </w:pPr>
      <w:r w:rsidRPr="00DB6D42">
        <w:rPr>
          <w:rFonts w:cs="Arial"/>
          <w:b/>
          <w:bCs/>
          <w:i/>
          <w:color w:val="000000"/>
          <w:szCs w:val="29"/>
          <w:lang w:val="en-US"/>
        </w:rPr>
        <w:t>Role of funding source</w:t>
      </w:r>
    </w:p>
    <w:p w14:paraId="50F429D9" w14:textId="77777777" w:rsidR="00EC20E5" w:rsidRPr="00DB6D42" w:rsidRDefault="0085786C" w:rsidP="00BB5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360" w:lineRule="auto"/>
        <w:jc w:val="both"/>
        <w:rPr>
          <w:rFonts w:cs="Arial"/>
          <w:bCs/>
          <w:szCs w:val="29"/>
          <w:lang w:val="en-US"/>
        </w:rPr>
      </w:pPr>
      <w:r w:rsidRPr="00DB6D42">
        <w:rPr>
          <w:rFonts w:cs="Arial"/>
          <w:bCs/>
          <w:szCs w:val="29"/>
          <w:lang w:val="en-US"/>
        </w:rPr>
        <w:t xml:space="preserve">DNDi is a not-for-profit product development </w:t>
      </w:r>
      <w:proofErr w:type="spellStart"/>
      <w:r w:rsidRPr="00DB6D42">
        <w:rPr>
          <w:rFonts w:cs="Arial"/>
          <w:bCs/>
          <w:szCs w:val="29"/>
          <w:lang w:val="en-US"/>
        </w:rPr>
        <w:t>organisation</w:t>
      </w:r>
      <w:proofErr w:type="spellEnd"/>
      <w:r w:rsidRPr="00DB6D42">
        <w:rPr>
          <w:rFonts w:cs="Arial"/>
          <w:bCs/>
          <w:szCs w:val="29"/>
          <w:lang w:val="en-US"/>
        </w:rPr>
        <w:t>, which was the sponsor for this study. DNDi received funding for this study from different sources, which had no role in study design, data collection, data analysis, data interpretation, or writing of the report. The corresponding author had full access to all the data in the study and had final responsibility for the decision to submit for publication.</w:t>
      </w:r>
    </w:p>
    <w:p w14:paraId="576578E7" w14:textId="77777777" w:rsidR="0085786C" w:rsidRPr="00DB6D42" w:rsidRDefault="0085786C" w:rsidP="00BB5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360" w:lineRule="auto"/>
        <w:jc w:val="both"/>
        <w:rPr>
          <w:rFonts w:cs="Arial"/>
          <w:b/>
          <w:bCs/>
          <w:color w:val="000000"/>
          <w:lang w:val="en-US"/>
        </w:rPr>
      </w:pPr>
    </w:p>
    <w:p w14:paraId="6ADC0F28" w14:textId="77777777" w:rsidR="00B32B9F" w:rsidRPr="00DB6D42" w:rsidRDefault="00B32B9F" w:rsidP="00BB5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360" w:lineRule="auto"/>
        <w:jc w:val="both"/>
        <w:rPr>
          <w:rFonts w:cs="Arial"/>
          <w:b/>
          <w:bCs/>
          <w:color w:val="000000"/>
          <w:lang w:val="en-US"/>
        </w:rPr>
      </w:pPr>
      <w:r w:rsidRPr="00DB6D42">
        <w:rPr>
          <w:rFonts w:cs="Arial"/>
          <w:b/>
          <w:bCs/>
          <w:color w:val="000000"/>
          <w:lang w:val="en-US"/>
        </w:rPr>
        <w:t>Results</w:t>
      </w:r>
    </w:p>
    <w:p w14:paraId="53525882" w14:textId="5EA5AA87" w:rsidR="00211317" w:rsidRPr="00DB6D42" w:rsidRDefault="005B4ED3" w:rsidP="00BB5FF5">
      <w:pPr>
        <w:spacing w:before="80" w:after="80" w:line="360" w:lineRule="auto"/>
        <w:jc w:val="both"/>
        <w:rPr>
          <w:szCs w:val="22"/>
          <w:lang w:val="en-US"/>
        </w:rPr>
      </w:pPr>
      <w:r w:rsidRPr="00DB6D42">
        <w:rPr>
          <w:lang w:val="en-US"/>
        </w:rPr>
        <w:t xml:space="preserve">The study was initiated on July 19, 2011 </w:t>
      </w:r>
      <w:r w:rsidR="00475B94" w:rsidRPr="00DB6D42">
        <w:rPr>
          <w:lang w:val="en-US"/>
        </w:rPr>
        <w:t xml:space="preserve">and follow-up was completed on </w:t>
      </w:r>
      <w:r w:rsidRPr="00DB6D42">
        <w:rPr>
          <w:lang w:val="en-US"/>
        </w:rPr>
        <w:t>June 13, 2013</w:t>
      </w:r>
      <w:r w:rsidRPr="00DB6D42">
        <w:rPr>
          <w:i/>
          <w:lang w:val="en-US"/>
        </w:rPr>
        <w:t>.</w:t>
      </w:r>
      <w:r w:rsidR="00475B94" w:rsidRPr="00DB6D42">
        <w:rPr>
          <w:i/>
          <w:lang w:val="en-US"/>
        </w:rPr>
        <w:t xml:space="preserve"> </w:t>
      </w:r>
      <w:r w:rsidR="00252C88" w:rsidRPr="00DB6D42">
        <w:rPr>
          <w:lang w:val="en-US"/>
        </w:rPr>
        <w:t>Overall</w:t>
      </w:r>
      <w:r w:rsidR="00B32B9F" w:rsidRPr="00DB6D42">
        <w:rPr>
          <w:lang w:val="en-US"/>
        </w:rPr>
        <w:t xml:space="preserve">, 560 </w:t>
      </w:r>
      <w:r w:rsidR="00266A5F" w:rsidRPr="00DB6D42">
        <w:rPr>
          <w:lang w:val="en-US"/>
        </w:rPr>
        <w:t xml:space="preserve">subjects </w:t>
      </w:r>
      <w:r w:rsidR="00B93683" w:rsidRPr="00DB6D42">
        <w:rPr>
          <w:lang w:val="en-US"/>
        </w:rPr>
        <w:t xml:space="preserve">with confirmed </w:t>
      </w:r>
      <w:r w:rsidR="001C7F78" w:rsidRPr="00DB6D42">
        <w:rPr>
          <w:lang w:val="en-US"/>
        </w:rPr>
        <w:t>CD</w:t>
      </w:r>
      <w:r w:rsidR="00B93683" w:rsidRPr="00DB6D42">
        <w:rPr>
          <w:szCs w:val="22"/>
          <w:lang w:val="en-US"/>
        </w:rPr>
        <w:t xml:space="preserve"> </w:t>
      </w:r>
      <w:r w:rsidR="00B32B9F" w:rsidRPr="00DB6D42">
        <w:rPr>
          <w:lang w:val="en-US"/>
        </w:rPr>
        <w:t>were screened</w:t>
      </w:r>
      <w:r w:rsidR="008232E5" w:rsidRPr="00DB6D42">
        <w:rPr>
          <w:lang w:val="en-US"/>
        </w:rPr>
        <w:t>, among which 231</w:t>
      </w:r>
      <w:r w:rsidR="000459A4" w:rsidRPr="00DB6D42">
        <w:rPr>
          <w:lang w:val="en-US"/>
        </w:rPr>
        <w:t xml:space="preserve"> </w:t>
      </w:r>
      <w:r w:rsidR="00B2688F" w:rsidRPr="00DB6D42">
        <w:rPr>
          <w:lang w:val="en-US"/>
        </w:rPr>
        <w:t xml:space="preserve">subjects </w:t>
      </w:r>
      <w:r w:rsidR="000459A4" w:rsidRPr="00DB6D42">
        <w:rPr>
          <w:szCs w:val="22"/>
          <w:lang w:val="en-US"/>
        </w:rPr>
        <w:t xml:space="preserve">were </w:t>
      </w:r>
      <w:r w:rsidR="00B32B9F" w:rsidRPr="00DB6D42">
        <w:rPr>
          <w:szCs w:val="22"/>
          <w:lang w:val="en-US"/>
        </w:rPr>
        <w:t>eligible for randomization</w:t>
      </w:r>
      <w:r w:rsidR="008232E5" w:rsidRPr="00DB6D42">
        <w:rPr>
          <w:szCs w:val="22"/>
          <w:lang w:val="en-US"/>
        </w:rPr>
        <w:t>. A</w:t>
      </w:r>
      <w:r w:rsidR="00B2688F" w:rsidRPr="00DB6D42">
        <w:rPr>
          <w:szCs w:val="22"/>
          <w:lang w:val="en-US"/>
        </w:rPr>
        <w:t xml:space="preserve"> total of 45 subjects </w:t>
      </w:r>
      <w:r w:rsidR="008232E5" w:rsidRPr="00DB6D42">
        <w:rPr>
          <w:szCs w:val="22"/>
          <w:lang w:val="en-US"/>
        </w:rPr>
        <w:t xml:space="preserve">were </w:t>
      </w:r>
      <w:r w:rsidR="00B2688F" w:rsidRPr="00DB6D42">
        <w:rPr>
          <w:szCs w:val="22"/>
          <w:lang w:val="en-US"/>
        </w:rPr>
        <w:t xml:space="preserve">allocated to BZN and HD, 48 subjects to LD, 46 subjects in SD </w:t>
      </w:r>
      <w:r w:rsidR="00EE7860" w:rsidRPr="00DB6D42">
        <w:rPr>
          <w:szCs w:val="22"/>
          <w:lang w:val="en-US"/>
        </w:rPr>
        <w:t>arm</w:t>
      </w:r>
      <w:r w:rsidR="00B2688F" w:rsidRPr="00DB6D42">
        <w:rPr>
          <w:szCs w:val="22"/>
          <w:lang w:val="en-US"/>
        </w:rPr>
        <w:t>,</w:t>
      </w:r>
      <w:r w:rsidR="007148AE" w:rsidRPr="00DB6D42">
        <w:rPr>
          <w:szCs w:val="22"/>
          <w:lang w:val="en-US"/>
        </w:rPr>
        <w:t xml:space="preserve"> and </w:t>
      </w:r>
      <w:r w:rsidR="00D3399D" w:rsidRPr="00DB6D42">
        <w:rPr>
          <w:szCs w:val="22"/>
          <w:lang w:val="en-US"/>
        </w:rPr>
        <w:t>47 subjects to placebo</w:t>
      </w:r>
      <w:r w:rsidR="00C5006B" w:rsidRPr="00DB6D42">
        <w:rPr>
          <w:szCs w:val="22"/>
          <w:lang w:val="en-US"/>
        </w:rPr>
        <w:t>.</w:t>
      </w:r>
      <w:r w:rsidR="00B32B9F" w:rsidRPr="00DB6D42">
        <w:rPr>
          <w:szCs w:val="22"/>
          <w:lang w:val="en-US"/>
        </w:rPr>
        <w:t xml:space="preserve"> During treatment, </w:t>
      </w:r>
      <w:r w:rsidR="007857FB" w:rsidRPr="00DB6D42">
        <w:rPr>
          <w:szCs w:val="22"/>
          <w:lang w:val="en-US"/>
        </w:rPr>
        <w:t>14 patients (6</w:t>
      </w:r>
      <w:r w:rsidR="000A00E4" w:rsidRPr="00DB6D42">
        <w:rPr>
          <w:szCs w:val="22"/>
          <w:lang w:val="en-US"/>
        </w:rPr>
        <w:t>%)</w:t>
      </w:r>
      <w:r w:rsidR="00FE755D" w:rsidRPr="00DB6D42">
        <w:rPr>
          <w:szCs w:val="22"/>
          <w:lang w:val="en-US"/>
        </w:rPr>
        <w:t xml:space="preserve"> </w:t>
      </w:r>
      <w:r w:rsidR="00B32B9F" w:rsidRPr="00DB6D42">
        <w:rPr>
          <w:szCs w:val="22"/>
          <w:lang w:val="en-US"/>
        </w:rPr>
        <w:t xml:space="preserve">discontinued </w:t>
      </w:r>
      <w:r w:rsidR="007857FB" w:rsidRPr="00DB6D42">
        <w:rPr>
          <w:szCs w:val="22"/>
          <w:lang w:val="en-US"/>
        </w:rPr>
        <w:t xml:space="preserve">treatment </w:t>
      </w:r>
      <w:r w:rsidR="00B32B9F" w:rsidRPr="00DB6D42">
        <w:rPr>
          <w:szCs w:val="22"/>
          <w:lang w:val="en-US"/>
        </w:rPr>
        <w:t xml:space="preserve">due to </w:t>
      </w:r>
      <w:r w:rsidR="00351397" w:rsidRPr="00DB6D42">
        <w:rPr>
          <w:szCs w:val="22"/>
          <w:lang w:val="en-US"/>
        </w:rPr>
        <w:t>AE</w:t>
      </w:r>
      <w:r w:rsidR="007857FB" w:rsidRPr="00DB6D42">
        <w:rPr>
          <w:szCs w:val="22"/>
          <w:lang w:val="en-US"/>
        </w:rPr>
        <w:t xml:space="preserve">s (n=7), </w:t>
      </w:r>
      <w:r w:rsidR="00B32B9F" w:rsidRPr="00DB6D42">
        <w:rPr>
          <w:szCs w:val="22"/>
          <w:lang w:val="en-US"/>
        </w:rPr>
        <w:t>consent withdrawal</w:t>
      </w:r>
      <w:r w:rsidR="00252C88" w:rsidRPr="00DB6D42">
        <w:rPr>
          <w:szCs w:val="22"/>
          <w:lang w:val="en-US"/>
        </w:rPr>
        <w:t xml:space="preserve"> (n=3)</w:t>
      </w:r>
      <w:r w:rsidR="00B32B9F" w:rsidRPr="00DB6D42">
        <w:rPr>
          <w:szCs w:val="22"/>
          <w:lang w:val="en-US"/>
        </w:rPr>
        <w:t>, los</w:t>
      </w:r>
      <w:r w:rsidR="00E943FC" w:rsidRPr="00DB6D42">
        <w:rPr>
          <w:szCs w:val="22"/>
          <w:lang w:val="en-US"/>
        </w:rPr>
        <w:t>s</w:t>
      </w:r>
      <w:r w:rsidR="00B32B9F" w:rsidRPr="00DB6D42">
        <w:rPr>
          <w:szCs w:val="22"/>
          <w:lang w:val="en-US"/>
        </w:rPr>
        <w:t xml:space="preserve"> to follow-up</w:t>
      </w:r>
      <w:r w:rsidR="00E943FC" w:rsidRPr="00DB6D42">
        <w:rPr>
          <w:szCs w:val="22"/>
          <w:lang w:val="en-US"/>
        </w:rPr>
        <w:t xml:space="preserve"> (n=2),</w:t>
      </w:r>
      <w:r w:rsidR="00B2688F" w:rsidRPr="00DB6D42">
        <w:rPr>
          <w:szCs w:val="22"/>
          <w:lang w:val="en-US"/>
        </w:rPr>
        <w:t xml:space="preserve"> </w:t>
      </w:r>
      <w:r w:rsidR="00E943FC" w:rsidRPr="00DB6D42">
        <w:rPr>
          <w:szCs w:val="22"/>
          <w:lang w:val="en-US"/>
        </w:rPr>
        <w:t xml:space="preserve">or </w:t>
      </w:r>
      <w:r w:rsidR="00B32B9F" w:rsidRPr="00DB6D42">
        <w:rPr>
          <w:szCs w:val="22"/>
          <w:lang w:val="en-US"/>
        </w:rPr>
        <w:t>unspecified reason</w:t>
      </w:r>
      <w:r w:rsidR="008232E5" w:rsidRPr="00DB6D42">
        <w:rPr>
          <w:szCs w:val="22"/>
          <w:lang w:val="en-US"/>
        </w:rPr>
        <w:t>s</w:t>
      </w:r>
      <w:r w:rsidR="00E943FC" w:rsidRPr="00DB6D42">
        <w:rPr>
          <w:szCs w:val="22"/>
          <w:lang w:val="en-US"/>
        </w:rPr>
        <w:t xml:space="preserve"> (n=2)</w:t>
      </w:r>
      <w:r w:rsidR="007857FB" w:rsidRPr="00DB6D42">
        <w:rPr>
          <w:szCs w:val="22"/>
          <w:lang w:val="en-US"/>
        </w:rPr>
        <w:t xml:space="preserve"> (</w:t>
      </w:r>
      <w:r w:rsidR="00AD4FF2" w:rsidRPr="00DB6D42">
        <w:rPr>
          <w:szCs w:val="22"/>
          <w:lang w:val="en-US"/>
        </w:rPr>
        <w:t>F</w:t>
      </w:r>
      <w:r w:rsidR="007857FB" w:rsidRPr="00DB6D42">
        <w:rPr>
          <w:szCs w:val="22"/>
          <w:lang w:val="en-US"/>
        </w:rPr>
        <w:t>igure 1)</w:t>
      </w:r>
      <w:r w:rsidR="00D3399D" w:rsidRPr="00DB6D42">
        <w:rPr>
          <w:szCs w:val="22"/>
          <w:lang w:val="en-US"/>
        </w:rPr>
        <w:t xml:space="preserve">. </w:t>
      </w:r>
      <w:r w:rsidR="008232E5" w:rsidRPr="00DB6D42">
        <w:rPr>
          <w:szCs w:val="22"/>
          <w:lang w:val="en-US"/>
        </w:rPr>
        <w:t>Ten</w:t>
      </w:r>
      <w:r w:rsidR="000E50F1" w:rsidRPr="00DB6D42">
        <w:rPr>
          <w:szCs w:val="22"/>
          <w:lang w:val="en-US"/>
        </w:rPr>
        <w:t xml:space="preserve"> </w:t>
      </w:r>
      <w:r w:rsidR="000E50F1" w:rsidRPr="00DB6D42">
        <w:rPr>
          <w:szCs w:val="22"/>
          <w:lang w:val="en-US"/>
        </w:rPr>
        <w:lastRenderedPageBreak/>
        <w:t xml:space="preserve">significant protocol deviations </w:t>
      </w:r>
      <w:r w:rsidR="003A20E3" w:rsidRPr="00DB6D42">
        <w:rPr>
          <w:szCs w:val="22"/>
          <w:lang w:val="en-US"/>
        </w:rPr>
        <w:t xml:space="preserve">were documented, </w:t>
      </w:r>
      <w:r w:rsidR="00A8379D" w:rsidRPr="00DB6D42">
        <w:rPr>
          <w:szCs w:val="22"/>
          <w:lang w:val="en-US"/>
        </w:rPr>
        <w:t>resulting</w:t>
      </w:r>
      <w:r w:rsidR="003A20E3" w:rsidRPr="00DB6D42">
        <w:rPr>
          <w:szCs w:val="22"/>
          <w:lang w:val="en-US"/>
        </w:rPr>
        <w:t xml:space="preserve"> in a per</w:t>
      </w:r>
      <w:r w:rsidR="008232E5" w:rsidRPr="00DB6D42">
        <w:rPr>
          <w:szCs w:val="22"/>
          <w:lang w:val="en-US"/>
        </w:rPr>
        <w:t>-</w:t>
      </w:r>
      <w:r w:rsidR="003A20E3" w:rsidRPr="00DB6D42">
        <w:rPr>
          <w:szCs w:val="22"/>
          <w:lang w:val="en-US"/>
        </w:rPr>
        <w:t>protocol analys</w:t>
      </w:r>
      <w:r w:rsidR="00A8379D" w:rsidRPr="00DB6D42">
        <w:rPr>
          <w:szCs w:val="22"/>
          <w:lang w:val="en-US"/>
        </w:rPr>
        <w:t>i</w:t>
      </w:r>
      <w:r w:rsidR="003A20E3" w:rsidRPr="00DB6D42">
        <w:rPr>
          <w:szCs w:val="22"/>
          <w:lang w:val="en-US"/>
        </w:rPr>
        <w:t xml:space="preserve">s population very close to the </w:t>
      </w:r>
      <w:r w:rsidR="00F759B0" w:rsidRPr="00DB6D42">
        <w:rPr>
          <w:szCs w:val="22"/>
          <w:lang w:val="en-US"/>
        </w:rPr>
        <w:t>intention-to-treat</w:t>
      </w:r>
      <w:r w:rsidR="00986152" w:rsidRPr="00DB6D42">
        <w:rPr>
          <w:szCs w:val="22"/>
          <w:lang w:val="en-US"/>
        </w:rPr>
        <w:t xml:space="preserve"> (ITT)</w:t>
      </w:r>
      <w:r w:rsidR="003A20E3" w:rsidRPr="00DB6D42">
        <w:rPr>
          <w:szCs w:val="22"/>
          <w:lang w:val="en-US"/>
        </w:rPr>
        <w:t>/safety population</w:t>
      </w:r>
      <w:r w:rsidR="00EE7860" w:rsidRPr="00DB6D42">
        <w:rPr>
          <w:szCs w:val="22"/>
          <w:lang w:val="en-US"/>
        </w:rPr>
        <w:t xml:space="preserve"> </w:t>
      </w:r>
      <w:r w:rsidR="007857FB" w:rsidRPr="00DB6D42">
        <w:rPr>
          <w:szCs w:val="22"/>
          <w:lang w:val="en-US"/>
        </w:rPr>
        <w:t>(</w:t>
      </w:r>
      <w:r w:rsidR="00FC6D82" w:rsidRPr="00DB6D42">
        <w:rPr>
          <w:szCs w:val="22"/>
          <w:lang w:val="en-US"/>
        </w:rPr>
        <w:t>F</w:t>
      </w:r>
      <w:r w:rsidR="007857FB" w:rsidRPr="00DB6D42">
        <w:rPr>
          <w:szCs w:val="22"/>
          <w:lang w:val="en-US"/>
        </w:rPr>
        <w:t>igure 1)</w:t>
      </w:r>
      <w:r w:rsidR="00B857E5" w:rsidRPr="00DB6D42">
        <w:rPr>
          <w:szCs w:val="22"/>
          <w:lang w:val="en-US"/>
        </w:rPr>
        <w:t>.</w:t>
      </w:r>
      <w:r w:rsidR="00EE7860" w:rsidRPr="00DB6D42">
        <w:rPr>
          <w:szCs w:val="22"/>
          <w:lang w:val="en-US"/>
        </w:rPr>
        <w:t xml:space="preserve"> </w:t>
      </w:r>
      <w:r w:rsidR="007B3A29">
        <w:rPr>
          <w:szCs w:val="22"/>
          <w:lang w:val="en-US"/>
        </w:rPr>
        <w:t>The only s</w:t>
      </w:r>
      <w:r w:rsidR="00066879">
        <w:rPr>
          <w:szCs w:val="22"/>
          <w:lang w:val="en-US"/>
        </w:rPr>
        <w:t xml:space="preserve">tudy significant </w:t>
      </w:r>
      <w:r w:rsidR="007B3A29">
        <w:rPr>
          <w:szCs w:val="22"/>
          <w:lang w:val="en-US"/>
        </w:rPr>
        <w:t xml:space="preserve">protocol deviation was </w:t>
      </w:r>
      <w:r w:rsidR="00066879">
        <w:rPr>
          <w:szCs w:val="22"/>
          <w:lang w:val="en-US"/>
        </w:rPr>
        <w:t xml:space="preserve">related to reduced compliance/ exposure, </w:t>
      </w:r>
      <w:r w:rsidR="00066879" w:rsidRPr="00066879">
        <w:rPr>
          <w:szCs w:val="22"/>
          <w:lang w:val="en-US"/>
        </w:rPr>
        <w:t>defined as less than 80% of the planned cumulative dose</w:t>
      </w:r>
      <w:r w:rsidR="007B3A29">
        <w:rPr>
          <w:szCs w:val="22"/>
          <w:lang w:val="en-US"/>
        </w:rPr>
        <w:t xml:space="preserve"> (affecting </w:t>
      </w:r>
      <w:r w:rsidR="007B3A29">
        <w:t>1 patient in the placebo arm, 3 in the SD arm, 3 in the HD arm and 3 in the BZN arm)</w:t>
      </w:r>
      <w:r w:rsidR="00066879">
        <w:rPr>
          <w:szCs w:val="22"/>
          <w:lang w:val="en-US"/>
        </w:rPr>
        <w:t>.</w:t>
      </w:r>
    </w:p>
    <w:p w14:paraId="191A52EA" w14:textId="74A48AA5" w:rsidR="00211317" w:rsidRPr="00DB6D42" w:rsidRDefault="00B32B9F" w:rsidP="00BB5FF5">
      <w:pPr>
        <w:spacing w:before="80" w:after="80" w:line="360" w:lineRule="auto"/>
        <w:jc w:val="both"/>
        <w:rPr>
          <w:i/>
          <w:lang w:val="en-US"/>
        </w:rPr>
      </w:pPr>
      <w:r w:rsidRPr="00DB6D42">
        <w:rPr>
          <w:szCs w:val="22"/>
          <w:lang w:val="en-US"/>
        </w:rPr>
        <w:t xml:space="preserve">Treatment arms were well balanced, in terms of age, gender, ECG values, serology, hematology, liver function </w:t>
      </w:r>
      <w:r w:rsidR="00337A28" w:rsidRPr="00DB6D42">
        <w:rPr>
          <w:szCs w:val="22"/>
          <w:lang w:val="en-US"/>
        </w:rPr>
        <w:t xml:space="preserve">and baseline parasite load </w:t>
      </w:r>
      <w:r w:rsidRPr="00DB6D42">
        <w:rPr>
          <w:szCs w:val="22"/>
          <w:lang w:val="en-US"/>
        </w:rPr>
        <w:t>(</w:t>
      </w:r>
      <w:r w:rsidR="008B4465" w:rsidRPr="00DB6D42">
        <w:rPr>
          <w:szCs w:val="22"/>
          <w:lang w:val="en-US"/>
        </w:rPr>
        <w:t>T</w:t>
      </w:r>
      <w:r w:rsidRPr="00DB6D42">
        <w:rPr>
          <w:szCs w:val="22"/>
          <w:lang w:val="en-US"/>
        </w:rPr>
        <w:t xml:space="preserve">able 1). </w:t>
      </w:r>
      <w:r w:rsidR="00576E77" w:rsidRPr="00DB6D42">
        <w:rPr>
          <w:szCs w:val="22"/>
          <w:lang w:val="en-US"/>
        </w:rPr>
        <w:t>M</w:t>
      </w:r>
      <w:r w:rsidRPr="00DB6D42">
        <w:rPr>
          <w:szCs w:val="22"/>
          <w:lang w:val="en-US"/>
        </w:rPr>
        <w:t>ean age (standard deviation, SD) of enrolled patients was 30</w:t>
      </w:r>
      <w:r w:rsidR="00AD205F" w:rsidRPr="00DB6D42">
        <w:rPr>
          <w:lang w:val="en-US"/>
        </w:rPr>
        <w:t>·</w:t>
      </w:r>
      <w:r w:rsidRPr="00DB6D42">
        <w:rPr>
          <w:szCs w:val="22"/>
          <w:lang w:val="en-US"/>
        </w:rPr>
        <w:t>2 (8</w:t>
      </w:r>
      <w:r w:rsidR="00AD205F" w:rsidRPr="00DB6D42">
        <w:rPr>
          <w:lang w:val="en-US"/>
        </w:rPr>
        <w:t>·</w:t>
      </w:r>
      <w:r w:rsidRPr="00DB6D42">
        <w:rPr>
          <w:szCs w:val="22"/>
          <w:lang w:val="en-US"/>
        </w:rPr>
        <w:t>8) years</w:t>
      </w:r>
      <w:r w:rsidR="00337A28" w:rsidRPr="00DB6D42">
        <w:rPr>
          <w:szCs w:val="22"/>
          <w:lang w:val="en-US"/>
        </w:rPr>
        <w:t xml:space="preserve">, with </w:t>
      </w:r>
      <w:r w:rsidRPr="00DB6D42">
        <w:rPr>
          <w:szCs w:val="22"/>
          <w:lang w:val="en-US"/>
        </w:rPr>
        <w:t xml:space="preserve">a </w:t>
      </w:r>
      <w:r w:rsidR="00EE7860" w:rsidRPr="00DB6D42">
        <w:rPr>
          <w:szCs w:val="22"/>
          <w:lang w:val="en-US"/>
        </w:rPr>
        <w:t>4:1 f</w:t>
      </w:r>
      <w:r w:rsidR="00980E2D" w:rsidRPr="00DB6D42">
        <w:rPr>
          <w:szCs w:val="22"/>
          <w:lang w:val="en-US"/>
        </w:rPr>
        <w:t>e</w:t>
      </w:r>
      <w:r w:rsidR="00EE7860" w:rsidRPr="00DB6D42">
        <w:rPr>
          <w:szCs w:val="22"/>
          <w:lang w:val="en-US"/>
        </w:rPr>
        <w:t>male to male</w:t>
      </w:r>
      <w:r w:rsidRPr="00DB6D42">
        <w:rPr>
          <w:szCs w:val="22"/>
          <w:lang w:val="en-US"/>
        </w:rPr>
        <w:t xml:space="preserve"> ratio.</w:t>
      </w:r>
      <w:r w:rsidR="009470C5" w:rsidRPr="00DB6D42">
        <w:rPr>
          <w:szCs w:val="22"/>
          <w:lang w:val="en-US"/>
        </w:rPr>
        <w:t xml:space="preserve"> </w:t>
      </w:r>
    </w:p>
    <w:p w14:paraId="322974C0" w14:textId="1EF35A02" w:rsidR="00883C51" w:rsidRPr="00DB6D42" w:rsidRDefault="00051A0A" w:rsidP="00BB5FF5">
      <w:pPr>
        <w:spacing w:line="360" w:lineRule="auto"/>
        <w:jc w:val="both"/>
        <w:rPr>
          <w:rFonts w:cs="Arial"/>
          <w:bCs/>
          <w:szCs w:val="29"/>
          <w:lang w:val="en-US"/>
        </w:rPr>
      </w:pPr>
      <w:r w:rsidRPr="00DB6D42">
        <w:rPr>
          <w:lang w:val="en-US"/>
        </w:rPr>
        <w:t xml:space="preserve">The primary endpoint, </w:t>
      </w:r>
      <w:r w:rsidR="00475B94" w:rsidRPr="00DB6D42">
        <w:rPr>
          <w:rFonts w:cs="Arial"/>
          <w:bCs/>
          <w:szCs w:val="29"/>
          <w:lang w:val="en-US"/>
        </w:rPr>
        <w:t>p</w:t>
      </w:r>
      <w:r w:rsidR="002C5CC0" w:rsidRPr="00DB6D42">
        <w:rPr>
          <w:rFonts w:cs="Arial"/>
          <w:bCs/>
          <w:szCs w:val="29"/>
          <w:lang w:val="en-US"/>
        </w:rPr>
        <w:t>arasi</w:t>
      </w:r>
      <w:r w:rsidR="00B54F80" w:rsidRPr="00DB6D42">
        <w:rPr>
          <w:rFonts w:cs="Arial"/>
          <w:bCs/>
          <w:szCs w:val="29"/>
          <w:lang w:val="en-US"/>
        </w:rPr>
        <w:t xml:space="preserve">te </w:t>
      </w:r>
      <w:r w:rsidR="00475B94" w:rsidRPr="00DB6D42">
        <w:rPr>
          <w:rFonts w:cs="Arial"/>
          <w:bCs/>
          <w:szCs w:val="29"/>
          <w:lang w:val="en-US"/>
        </w:rPr>
        <w:t xml:space="preserve">DNA </w:t>
      </w:r>
      <w:r w:rsidR="000E50F1" w:rsidRPr="00DB6D42">
        <w:rPr>
          <w:rFonts w:cs="Arial"/>
          <w:bCs/>
          <w:szCs w:val="29"/>
          <w:lang w:val="en-US"/>
        </w:rPr>
        <w:t xml:space="preserve">clearance </w:t>
      </w:r>
      <w:r w:rsidR="002C5CC0" w:rsidRPr="00DB6D42">
        <w:rPr>
          <w:rFonts w:cs="Arial"/>
          <w:bCs/>
          <w:szCs w:val="29"/>
          <w:lang w:val="en-US"/>
        </w:rPr>
        <w:t xml:space="preserve">at </w:t>
      </w:r>
      <w:r w:rsidR="007C5355" w:rsidRPr="00DB6D42">
        <w:rPr>
          <w:rFonts w:cs="Arial"/>
          <w:bCs/>
          <w:szCs w:val="29"/>
          <w:lang w:val="en-US"/>
        </w:rPr>
        <w:t>EOT</w:t>
      </w:r>
      <w:r w:rsidRPr="00DB6D42">
        <w:rPr>
          <w:rFonts w:cs="Arial"/>
          <w:bCs/>
          <w:szCs w:val="29"/>
          <w:lang w:val="en-US"/>
        </w:rPr>
        <w:t>,</w:t>
      </w:r>
      <w:r w:rsidR="007C5355" w:rsidRPr="00DB6D42">
        <w:rPr>
          <w:rFonts w:cs="Arial"/>
          <w:bCs/>
          <w:szCs w:val="29"/>
          <w:lang w:val="en-US"/>
        </w:rPr>
        <w:t xml:space="preserve"> </w:t>
      </w:r>
      <w:r w:rsidR="000E50F1" w:rsidRPr="00DB6D42">
        <w:rPr>
          <w:rFonts w:cs="Arial"/>
          <w:bCs/>
          <w:szCs w:val="29"/>
          <w:lang w:val="en-US"/>
        </w:rPr>
        <w:t>was</w:t>
      </w:r>
      <w:r w:rsidR="00EE7860" w:rsidRPr="00DB6D42">
        <w:rPr>
          <w:rFonts w:cs="Arial"/>
          <w:bCs/>
          <w:szCs w:val="29"/>
          <w:lang w:val="en-US"/>
        </w:rPr>
        <w:t xml:space="preserve"> </w:t>
      </w:r>
      <w:r w:rsidR="002C5CC0" w:rsidRPr="00DB6D42">
        <w:rPr>
          <w:rFonts w:cs="Arial"/>
          <w:bCs/>
          <w:szCs w:val="29"/>
          <w:lang w:val="en-US"/>
        </w:rPr>
        <w:t>significant</w:t>
      </w:r>
      <w:r w:rsidR="000E50F1" w:rsidRPr="00DB6D42">
        <w:rPr>
          <w:rFonts w:cs="Arial"/>
          <w:bCs/>
          <w:szCs w:val="29"/>
          <w:lang w:val="en-US"/>
        </w:rPr>
        <w:t>ly</w:t>
      </w:r>
      <w:r w:rsidR="00772E40" w:rsidRPr="00DB6D42">
        <w:rPr>
          <w:rFonts w:cs="Arial"/>
          <w:bCs/>
          <w:szCs w:val="29"/>
          <w:lang w:val="en-US"/>
        </w:rPr>
        <w:t xml:space="preserve"> differen</w:t>
      </w:r>
      <w:r w:rsidR="000E50F1" w:rsidRPr="00DB6D42">
        <w:rPr>
          <w:rFonts w:cs="Arial"/>
          <w:bCs/>
          <w:szCs w:val="29"/>
          <w:lang w:val="en-US"/>
        </w:rPr>
        <w:t xml:space="preserve">t for </w:t>
      </w:r>
      <w:r w:rsidR="00772E40" w:rsidRPr="00DB6D42">
        <w:rPr>
          <w:rFonts w:cs="Arial"/>
          <w:bCs/>
          <w:szCs w:val="29"/>
          <w:lang w:val="en-US"/>
        </w:rPr>
        <w:t xml:space="preserve">all </w:t>
      </w:r>
      <w:r w:rsidR="002C5CC0" w:rsidRPr="00DB6D42">
        <w:rPr>
          <w:rFonts w:cs="Arial"/>
          <w:bCs/>
          <w:szCs w:val="29"/>
          <w:lang w:val="en-US"/>
        </w:rPr>
        <w:t xml:space="preserve">active </w:t>
      </w:r>
      <w:r w:rsidR="00772E40" w:rsidRPr="00DB6D42">
        <w:rPr>
          <w:rFonts w:cs="Arial"/>
          <w:bCs/>
          <w:szCs w:val="29"/>
          <w:lang w:val="en-US"/>
        </w:rPr>
        <w:t xml:space="preserve">treatment arms </w:t>
      </w:r>
      <w:r w:rsidR="00883C51" w:rsidRPr="00DB6D42">
        <w:rPr>
          <w:rFonts w:cs="Arial"/>
          <w:bCs/>
          <w:szCs w:val="29"/>
          <w:lang w:val="en-US"/>
        </w:rPr>
        <w:t xml:space="preserve">than placebo </w:t>
      </w:r>
      <w:r w:rsidR="00D67848" w:rsidRPr="00DB6D42">
        <w:rPr>
          <w:rFonts w:cs="Arial"/>
          <w:bCs/>
          <w:szCs w:val="29"/>
          <w:lang w:val="en-US"/>
        </w:rPr>
        <w:t>(</w:t>
      </w:r>
      <w:r w:rsidR="00D67848" w:rsidRPr="00DB6D42">
        <w:rPr>
          <w:rFonts w:cs="Arial"/>
          <w:bCs/>
          <w:i/>
          <w:szCs w:val="29"/>
          <w:lang w:val="en-US"/>
        </w:rPr>
        <w:t>p</w:t>
      </w:r>
      <w:r w:rsidR="00D67848" w:rsidRPr="00DB6D42">
        <w:rPr>
          <w:rFonts w:cs="Arial"/>
          <w:bCs/>
          <w:szCs w:val="29"/>
          <w:lang w:val="en-US"/>
        </w:rPr>
        <w:t>&lt;0</w:t>
      </w:r>
      <w:r w:rsidR="00AD205F" w:rsidRPr="00DB6D42">
        <w:rPr>
          <w:lang w:val="en-US"/>
        </w:rPr>
        <w:t>·</w:t>
      </w:r>
      <w:r w:rsidR="00D67848" w:rsidRPr="00DB6D42">
        <w:rPr>
          <w:rFonts w:cs="Arial"/>
          <w:bCs/>
          <w:szCs w:val="29"/>
          <w:lang w:val="en-US"/>
        </w:rPr>
        <w:t>001)</w:t>
      </w:r>
      <w:r w:rsidR="000E50F1" w:rsidRPr="00DB6D42">
        <w:rPr>
          <w:rFonts w:cs="Arial"/>
          <w:bCs/>
          <w:szCs w:val="29"/>
          <w:lang w:val="en-US"/>
        </w:rPr>
        <w:t>, with t</w:t>
      </w:r>
      <w:r w:rsidR="003C3A76" w:rsidRPr="00DB6D42">
        <w:rPr>
          <w:rFonts w:cs="Arial"/>
          <w:bCs/>
          <w:szCs w:val="29"/>
          <w:lang w:val="en-US"/>
        </w:rPr>
        <w:t>he highest clearance observed in the BZN arm (91%)</w:t>
      </w:r>
      <w:r w:rsidR="005C7865" w:rsidRPr="00DB6D42">
        <w:rPr>
          <w:rFonts w:cs="Arial"/>
          <w:bCs/>
          <w:szCs w:val="29"/>
          <w:lang w:val="en-US"/>
        </w:rPr>
        <w:t xml:space="preserve"> (</w:t>
      </w:r>
      <w:r w:rsidR="0094190F" w:rsidRPr="00DB6D42">
        <w:rPr>
          <w:rFonts w:cs="Arial"/>
          <w:bCs/>
          <w:szCs w:val="29"/>
          <w:lang w:val="en-US"/>
        </w:rPr>
        <w:t>T</w:t>
      </w:r>
      <w:r w:rsidR="005C7865" w:rsidRPr="00DB6D42">
        <w:rPr>
          <w:rFonts w:cs="Arial"/>
          <w:bCs/>
          <w:szCs w:val="29"/>
          <w:lang w:val="en-US"/>
        </w:rPr>
        <w:t xml:space="preserve">able </w:t>
      </w:r>
      <w:r w:rsidR="005F1599" w:rsidRPr="00DB6D42">
        <w:rPr>
          <w:rFonts w:cs="Arial"/>
          <w:bCs/>
          <w:szCs w:val="29"/>
          <w:lang w:val="en-US"/>
        </w:rPr>
        <w:t>2</w:t>
      </w:r>
      <w:r w:rsidR="005C7865" w:rsidRPr="00DB6D42">
        <w:rPr>
          <w:rFonts w:cs="Arial"/>
          <w:bCs/>
          <w:szCs w:val="29"/>
          <w:lang w:val="en-US"/>
        </w:rPr>
        <w:t>)</w:t>
      </w:r>
      <w:r w:rsidR="00772E40" w:rsidRPr="00DB6D42">
        <w:rPr>
          <w:rFonts w:cs="Arial"/>
          <w:bCs/>
          <w:szCs w:val="29"/>
          <w:lang w:val="en-US"/>
        </w:rPr>
        <w:t>.</w:t>
      </w:r>
      <w:r w:rsidR="00E94AAB" w:rsidRPr="00DB6D42">
        <w:rPr>
          <w:rFonts w:cs="Arial"/>
          <w:bCs/>
          <w:szCs w:val="29"/>
          <w:lang w:val="en-US"/>
        </w:rPr>
        <w:t xml:space="preserve"> </w:t>
      </w:r>
      <w:r w:rsidR="00883C51" w:rsidRPr="00DB6D42">
        <w:rPr>
          <w:rFonts w:cs="Arial"/>
          <w:bCs/>
          <w:szCs w:val="29"/>
          <w:lang w:val="en-US"/>
        </w:rPr>
        <w:t xml:space="preserve">Similar results were obtained in the FAS and PP populations. </w:t>
      </w:r>
      <w:r w:rsidR="00A03EE7" w:rsidRPr="00DB6D42">
        <w:rPr>
          <w:rFonts w:cs="Arial"/>
          <w:bCs/>
          <w:szCs w:val="29"/>
          <w:lang w:val="en-US"/>
        </w:rPr>
        <w:t>Sensitivity</w:t>
      </w:r>
      <w:r w:rsidR="00883C51" w:rsidRPr="00DB6D42">
        <w:rPr>
          <w:rFonts w:cs="Arial"/>
          <w:bCs/>
          <w:szCs w:val="29"/>
          <w:lang w:val="en-US"/>
        </w:rPr>
        <w:t xml:space="preserve"> analyses also provided with similar results.</w:t>
      </w:r>
    </w:p>
    <w:p w14:paraId="7B70AF5B" w14:textId="06CF9C68" w:rsidR="005C7865" w:rsidRPr="00DB6D42" w:rsidRDefault="00EF07FB" w:rsidP="00BB5FF5">
      <w:pPr>
        <w:spacing w:line="360" w:lineRule="auto"/>
        <w:jc w:val="both"/>
        <w:rPr>
          <w:rFonts w:cs="Arial"/>
          <w:bCs/>
          <w:szCs w:val="29"/>
          <w:lang w:val="en-US"/>
        </w:rPr>
      </w:pPr>
      <w:r w:rsidRPr="00DB6D42">
        <w:rPr>
          <w:rFonts w:cs="Arial"/>
          <w:bCs/>
          <w:szCs w:val="29"/>
          <w:lang w:val="en-US"/>
        </w:rPr>
        <w:t xml:space="preserve">The proportion of patients achieving </w:t>
      </w:r>
      <w:r w:rsidR="00883C51" w:rsidRPr="00DB6D42">
        <w:rPr>
          <w:rFonts w:cs="Arial"/>
          <w:bCs/>
          <w:szCs w:val="29"/>
          <w:lang w:val="en-US"/>
        </w:rPr>
        <w:t xml:space="preserve">sustainability of parasite </w:t>
      </w:r>
      <w:r w:rsidR="0031071F" w:rsidRPr="00DB6D42">
        <w:rPr>
          <w:rFonts w:cs="Arial"/>
          <w:bCs/>
          <w:szCs w:val="29"/>
          <w:lang w:val="en-US"/>
        </w:rPr>
        <w:t xml:space="preserve">DNA </w:t>
      </w:r>
      <w:r w:rsidR="00883C51" w:rsidRPr="00DB6D42">
        <w:rPr>
          <w:rFonts w:cs="Arial"/>
          <w:bCs/>
          <w:szCs w:val="29"/>
          <w:lang w:val="en-US"/>
        </w:rPr>
        <w:t xml:space="preserve">clearance at 12 months </w:t>
      </w:r>
      <w:r w:rsidRPr="00DB6D42">
        <w:rPr>
          <w:rFonts w:cs="Arial"/>
          <w:bCs/>
          <w:szCs w:val="29"/>
          <w:lang w:val="en-US"/>
        </w:rPr>
        <w:t>in the</w:t>
      </w:r>
      <w:r w:rsidRPr="00DB6D42">
        <w:rPr>
          <w:rFonts w:cs="Arial"/>
          <w:szCs w:val="21"/>
          <w:lang w:val="en-US"/>
        </w:rPr>
        <w:t xml:space="preserve"> E1224 SD and LD arms respectively was 10</w:t>
      </w:r>
      <w:r w:rsidR="00AD205F" w:rsidRPr="00DB6D42">
        <w:rPr>
          <w:lang w:val="en-US"/>
        </w:rPr>
        <w:t>·</w:t>
      </w:r>
      <w:r w:rsidRPr="00DB6D42">
        <w:rPr>
          <w:rFonts w:cs="Arial"/>
          <w:szCs w:val="21"/>
          <w:lang w:val="en-US"/>
        </w:rPr>
        <w:t>9% and 8</w:t>
      </w:r>
      <w:r w:rsidR="00AD205F" w:rsidRPr="00DB6D42">
        <w:rPr>
          <w:lang w:val="en-US"/>
        </w:rPr>
        <w:t>·</w:t>
      </w:r>
      <w:r w:rsidRPr="00DB6D42">
        <w:rPr>
          <w:rFonts w:cs="Arial"/>
          <w:szCs w:val="21"/>
          <w:lang w:val="en-US"/>
        </w:rPr>
        <w:t>3%, similar to placebo values (8</w:t>
      </w:r>
      <w:r w:rsidR="00AD205F" w:rsidRPr="00DB6D42">
        <w:rPr>
          <w:lang w:val="en-US"/>
        </w:rPr>
        <w:t>·</w:t>
      </w:r>
      <w:r w:rsidRPr="00DB6D42">
        <w:rPr>
          <w:rFonts w:cs="Arial"/>
          <w:szCs w:val="21"/>
          <w:lang w:val="en-US"/>
        </w:rPr>
        <w:t xml:space="preserve">5%). </w:t>
      </w:r>
      <w:r w:rsidR="00BA58AF" w:rsidRPr="00DB6D42">
        <w:rPr>
          <w:rFonts w:cs="Arial"/>
          <w:szCs w:val="21"/>
          <w:lang w:val="en-US"/>
        </w:rPr>
        <w:t>SR values for BZN</w:t>
      </w:r>
      <w:r w:rsidRPr="00DB6D42">
        <w:rPr>
          <w:rFonts w:cs="Arial"/>
          <w:szCs w:val="21"/>
          <w:lang w:val="en-US"/>
        </w:rPr>
        <w:t xml:space="preserve"> w</w:t>
      </w:r>
      <w:r w:rsidR="00BA58AF" w:rsidRPr="00DB6D42">
        <w:rPr>
          <w:rFonts w:cs="Arial"/>
          <w:szCs w:val="21"/>
          <w:lang w:val="en-US"/>
        </w:rPr>
        <w:t>ere</w:t>
      </w:r>
      <w:r w:rsidRPr="00DB6D42">
        <w:rPr>
          <w:rFonts w:cs="Arial"/>
          <w:szCs w:val="21"/>
          <w:lang w:val="en-US"/>
        </w:rPr>
        <w:t xml:space="preserve"> 8</w:t>
      </w:r>
      <w:r w:rsidR="007A3C3B" w:rsidRPr="00DB6D42">
        <w:rPr>
          <w:rFonts w:cs="Arial"/>
          <w:szCs w:val="21"/>
          <w:lang w:val="en-US"/>
        </w:rPr>
        <w:t>2</w:t>
      </w:r>
      <w:r w:rsidR="00AD205F" w:rsidRPr="00DB6D42">
        <w:rPr>
          <w:lang w:val="en-US"/>
        </w:rPr>
        <w:t>·</w:t>
      </w:r>
      <w:r w:rsidR="007A3C3B" w:rsidRPr="00DB6D42">
        <w:rPr>
          <w:rFonts w:cs="Arial"/>
          <w:szCs w:val="21"/>
          <w:lang w:val="en-US"/>
        </w:rPr>
        <w:t>2</w:t>
      </w:r>
      <w:r w:rsidRPr="00DB6D42">
        <w:rPr>
          <w:rFonts w:cs="Arial"/>
          <w:szCs w:val="21"/>
          <w:lang w:val="en-US"/>
        </w:rPr>
        <w:t xml:space="preserve">% </w:t>
      </w:r>
      <w:r w:rsidR="000E50F1" w:rsidRPr="00DB6D42">
        <w:rPr>
          <w:rFonts w:cs="Arial"/>
          <w:szCs w:val="21"/>
          <w:lang w:val="en-US"/>
        </w:rPr>
        <w:t>and</w:t>
      </w:r>
      <w:r w:rsidRPr="00DB6D42">
        <w:rPr>
          <w:rFonts w:cs="Arial"/>
          <w:szCs w:val="21"/>
          <w:lang w:val="en-US"/>
        </w:rPr>
        <w:t xml:space="preserve"> 28</w:t>
      </w:r>
      <w:r w:rsidR="00AD205F" w:rsidRPr="00DB6D42">
        <w:rPr>
          <w:lang w:val="en-US"/>
        </w:rPr>
        <w:t>·</w:t>
      </w:r>
      <w:r w:rsidRPr="00DB6D42">
        <w:rPr>
          <w:rFonts w:cs="Arial"/>
          <w:szCs w:val="21"/>
          <w:lang w:val="en-US"/>
        </w:rPr>
        <w:t xml:space="preserve">9% in the E1224 HD arm. </w:t>
      </w:r>
      <w:r w:rsidR="00964BFC" w:rsidRPr="00DB6D42">
        <w:rPr>
          <w:rFonts w:cs="Arial"/>
          <w:bCs/>
          <w:szCs w:val="29"/>
          <w:lang w:val="en-US"/>
        </w:rPr>
        <w:t xml:space="preserve">A significant difference was measured for the comparison of </w:t>
      </w:r>
      <w:r w:rsidRPr="00DB6D42">
        <w:rPr>
          <w:szCs w:val="22"/>
          <w:lang w:val="en-US"/>
        </w:rPr>
        <w:t xml:space="preserve">E1224 HD </w:t>
      </w:r>
      <w:r w:rsidR="006A03C8" w:rsidRPr="00DB6D42">
        <w:rPr>
          <w:szCs w:val="22"/>
          <w:lang w:val="en-US"/>
        </w:rPr>
        <w:t>(p=</w:t>
      </w:r>
      <w:r w:rsidR="0031071F" w:rsidRPr="00DB6D42">
        <w:rPr>
          <w:szCs w:val="22"/>
          <w:lang w:val="en-US"/>
        </w:rPr>
        <w:t>0</w:t>
      </w:r>
      <w:r w:rsidR="0031071F" w:rsidRPr="00DB6D42">
        <w:rPr>
          <w:lang w:val="en-US"/>
        </w:rPr>
        <w:t>·</w:t>
      </w:r>
      <w:r w:rsidR="006A03C8" w:rsidRPr="00DB6D42">
        <w:rPr>
          <w:szCs w:val="22"/>
          <w:lang w:val="en-US"/>
        </w:rPr>
        <w:t xml:space="preserve">0343) </w:t>
      </w:r>
      <w:r w:rsidRPr="00DB6D42">
        <w:rPr>
          <w:szCs w:val="22"/>
          <w:lang w:val="en-US"/>
        </w:rPr>
        <w:t xml:space="preserve">and </w:t>
      </w:r>
      <w:r w:rsidR="00772E40" w:rsidRPr="00DB6D42">
        <w:rPr>
          <w:rFonts w:cs="Arial"/>
          <w:bCs/>
          <w:szCs w:val="29"/>
          <w:lang w:val="en-US"/>
        </w:rPr>
        <w:t xml:space="preserve">BZN </w:t>
      </w:r>
      <w:r w:rsidR="006A03C8" w:rsidRPr="00DB6D42">
        <w:rPr>
          <w:rFonts w:cs="Arial"/>
          <w:bCs/>
          <w:szCs w:val="29"/>
          <w:lang w:val="en-US"/>
        </w:rPr>
        <w:t>(p&lt;0</w:t>
      </w:r>
      <w:r w:rsidR="0031071F" w:rsidRPr="00DB6D42">
        <w:rPr>
          <w:lang w:val="en-US"/>
        </w:rPr>
        <w:t>·</w:t>
      </w:r>
      <w:r w:rsidR="006A03C8" w:rsidRPr="00DB6D42">
        <w:rPr>
          <w:rFonts w:cs="Arial"/>
          <w:bCs/>
          <w:szCs w:val="29"/>
          <w:lang w:val="en-US"/>
        </w:rPr>
        <w:t xml:space="preserve">0001) </w:t>
      </w:r>
      <w:r w:rsidR="00772E40" w:rsidRPr="00DB6D42">
        <w:rPr>
          <w:rFonts w:cs="Arial"/>
          <w:bCs/>
          <w:szCs w:val="29"/>
          <w:lang w:val="en-US"/>
        </w:rPr>
        <w:t>arm</w:t>
      </w:r>
      <w:r w:rsidRPr="00DB6D42">
        <w:rPr>
          <w:rFonts w:cs="Arial"/>
          <w:bCs/>
          <w:szCs w:val="29"/>
          <w:lang w:val="en-US"/>
        </w:rPr>
        <w:t>s</w:t>
      </w:r>
      <w:r w:rsidR="002C5798" w:rsidRPr="00DB6D42">
        <w:rPr>
          <w:rFonts w:cs="Arial"/>
          <w:bCs/>
          <w:szCs w:val="29"/>
          <w:lang w:val="en-US"/>
        </w:rPr>
        <w:t xml:space="preserve"> </w:t>
      </w:r>
      <w:r w:rsidR="00772E40" w:rsidRPr="00DB6D42">
        <w:rPr>
          <w:rFonts w:cs="Arial"/>
          <w:bCs/>
          <w:i/>
          <w:szCs w:val="29"/>
          <w:lang w:val="en-US"/>
        </w:rPr>
        <w:t>vs.</w:t>
      </w:r>
      <w:r w:rsidR="00772E40" w:rsidRPr="00DB6D42">
        <w:rPr>
          <w:rFonts w:cs="Arial"/>
          <w:bCs/>
          <w:szCs w:val="29"/>
          <w:lang w:val="en-US"/>
        </w:rPr>
        <w:t xml:space="preserve"> placebo</w:t>
      </w:r>
      <w:r w:rsidR="00156C0B" w:rsidRPr="00DB6D42">
        <w:rPr>
          <w:rFonts w:cs="Arial"/>
          <w:bCs/>
          <w:szCs w:val="29"/>
          <w:lang w:val="en-US"/>
        </w:rPr>
        <w:t>, corrected for multiplicity</w:t>
      </w:r>
      <w:r w:rsidR="007A3C3B" w:rsidRPr="00DB6D42">
        <w:rPr>
          <w:rFonts w:cs="Arial"/>
          <w:bCs/>
          <w:szCs w:val="29"/>
          <w:lang w:val="en-US"/>
        </w:rPr>
        <w:t xml:space="preserve"> (Table 2)</w:t>
      </w:r>
      <w:r w:rsidR="00964BFC" w:rsidRPr="00DB6D42">
        <w:rPr>
          <w:rFonts w:cs="Arial"/>
          <w:bCs/>
          <w:szCs w:val="29"/>
          <w:lang w:val="en-US"/>
        </w:rPr>
        <w:t>.</w:t>
      </w:r>
    </w:p>
    <w:p w14:paraId="2D042C72" w14:textId="6767CF07" w:rsidR="00883C51" w:rsidRPr="00DB6D42" w:rsidRDefault="0022051B" w:rsidP="00BB5FF5">
      <w:pPr>
        <w:spacing w:line="360" w:lineRule="auto"/>
        <w:jc w:val="both"/>
        <w:rPr>
          <w:szCs w:val="22"/>
          <w:lang w:val="en-US"/>
        </w:rPr>
      </w:pPr>
      <w:r w:rsidRPr="00DB6D42">
        <w:rPr>
          <w:szCs w:val="22"/>
          <w:lang w:val="en-US"/>
        </w:rPr>
        <w:t>After one week of treatment, m</w:t>
      </w:r>
      <w:r w:rsidR="00B32B9F" w:rsidRPr="00DB6D42">
        <w:rPr>
          <w:szCs w:val="22"/>
          <w:lang w:val="en-US"/>
        </w:rPr>
        <w:t xml:space="preserve">ean </w:t>
      </w:r>
      <w:r w:rsidR="008D170A" w:rsidRPr="00DB6D42">
        <w:rPr>
          <w:szCs w:val="22"/>
          <w:lang w:val="en-US"/>
        </w:rPr>
        <w:t>q</w:t>
      </w:r>
      <w:r w:rsidR="00B32B9F" w:rsidRPr="00DB6D42">
        <w:rPr>
          <w:szCs w:val="22"/>
          <w:lang w:val="en-US"/>
        </w:rPr>
        <w:t>PCR repeated measure</w:t>
      </w:r>
      <w:r w:rsidR="00C4175C" w:rsidRPr="00DB6D42">
        <w:rPr>
          <w:szCs w:val="22"/>
          <w:lang w:val="en-US"/>
        </w:rPr>
        <w:t xml:space="preserve">ments </w:t>
      </w:r>
      <w:r w:rsidR="00F14C1B" w:rsidRPr="00DB6D42">
        <w:rPr>
          <w:szCs w:val="22"/>
          <w:lang w:val="en-US"/>
        </w:rPr>
        <w:t>showed</w:t>
      </w:r>
      <w:r w:rsidR="00DE2B3E" w:rsidRPr="00DB6D42">
        <w:rPr>
          <w:szCs w:val="22"/>
          <w:lang w:val="en-US"/>
        </w:rPr>
        <w:t xml:space="preserve"> a significant </w:t>
      </w:r>
      <w:r w:rsidR="0023791A" w:rsidRPr="00DB6D42">
        <w:rPr>
          <w:szCs w:val="22"/>
          <w:lang w:val="en-US"/>
        </w:rPr>
        <w:t xml:space="preserve">reduction </w:t>
      </w:r>
      <w:r w:rsidR="00DE2B3E" w:rsidRPr="00DB6D42">
        <w:rPr>
          <w:szCs w:val="22"/>
          <w:lang w:val="en-US"/>
        </w:rPr>
        <w:t xml:space="preserve">in parasite load </w:t>
      </w:r>
      <w:r w:rsidR="0023791A" w:rsidRPr="00DB6D42">
        <w:rPr>
          <w:szCs w:val="22"/>
          <w:lang w:val="en-US"/>
        </w:rPr>
        <w:t>in all treatment arms</w:t>
      </w:r>
      <w:r w:rsidR="0023791A" w:rsidRPr="00DB6D42">
        <w:rPr>
          <w:i/>
          <w:szCs w:val="22"/>
          <w:lang w:val="en-US"/>
        </w:rPr>
        <w:t xml:space="preserve"> </w:t>
      </w:r>
      <w:r w:rsidR="00B239C6" w:rsidRPr="00DB6D42">
        <w:rPr>
          <w:i/>
          <w:szCs w:val="22"/>
          <w:lang w:val="en-US"/>
        </w:rPr>
        <w:t>vs.</w:t>
      </w:r>
      <w:r w:rsidR="00ED0F08" w:rsidRPr="00DB6D42">
        <w:rPr>
          <w:i/>
          <w:szCs w:val="22"/>
          <w:lang w:val="en-US"/>
        </w:rPr>
        <w:t xml:space="preserve"> </w:t>
      </w:r>
      <w:r w:rsidR="00DE2B3E" w:rsidRPr="00DB6D42">
        <w:rPr>
          <w:szCs w:val="22"/>
          <w:lang w:val="en-US"/>
        </w:rPr>
        <w:t xml:space="preserve">placebo. </w:t>
      </w:r>
      <w:r w:rsidR="00024D21" w:rsidRPr="00DB6D42">
        <w:rPr>
          <w:szCs w:val="22"/>
          <w:lang w:val="en-US"/>
        </w:rPr>
        <w:t xml:space="preserve">All BZN-treated patients cleared </w:t>
      </w:r>
      <w:r w:rsidR="00287899" w:rsidRPr="00DB6D42">
        <w:rPr>
          <w:szCs w:val="22"/>
          <w:lang w:val="en-US"/>
        </w:rPr>
        <w:t>parasit</w:t>
      </w:r>
      <w:r w:rsidR="00266A5F" w:rsidRPr="00DB6D42">
        <w:rPr>
          <w:szCs w:val="22"/>
          <w:lang w:val="en-US"/>
        </w:rPr>
        <w:t xml:space="preserve">e </w:t>
      </w:r>
      <w:r w:rsidR="00024D21" w:rsidRPr="00DB6D42">
        <w:rPr>
          <w:szCs w:val="22"/>
          <w:lang w:val="en-US"/>
        </w:rPr>
        <w:t xml:space="preserve">after </w:t>
      </w:r>
      <w:r w:rsidR="00BD0C99" w:rsidRPr="00DB6D42">
        <w:rPr>
          <w:szCs w:val="22"/>
          <w:lang w:val="en-US"/>
        </w:rPr>
        <w:t xml:space="preserve">two </w:t>
      </w:r>
      <w:r w:rsidR="00024D21" w:rsidRPr="00DB6D42">
        <w:rPr>
          <w:szCs w:val="22"/>
          <w:lang w:val="en-US"/>
        </w:rPr>
        <w:t xml:space="preserve">weeks of treatment. </w:t>
      </w:r>
      <w:r w:rsidR="007C4642" w:rsidRPr="00DB6D42">
        <w:rPr>
          <w:szCs w:val="22"/>
          <w:lang w:val="en-US"/>
        </w:rPr>
        <w:t xml:space="preserve">After EOT, the </w:t>
      </w:r>
      <w:r w:rsidR="00BD0C99" w:rsidRPr="00DB6D42">
        <w:rPr>
          <w:szCs w:val="22"/>
          <w:lang w:val="en-US"/>
        </w:rPr>
        <w:t xml:space="preserve">eight </w:t>
      </w:r>
      <w:r w:rsidR="007C4642" w:rsidRPr="00DB6D42">
        <w:rPr>
          <w:szCs w:val="22"/>
          <w:lang w:val="en-US"/>
        </w:rPr>
        <w:t xml:space="preserve">patients in the BZN arm </w:t>
      </w:r>
      <w:r w:rsidR="007D2405" w:rsidRPr="00DB6D42">
        <w:rPr>
          <w:szCs w:val="22"/>
          <w:lang w:val="en-US"/>
        </w:rPr>
        <w:t>that</w:t>
      </w:r>
      <w:r w:rsidR="00C4175C" w:rsidRPr="00DB6D42">
        <w:rPr>
          <w:szCs w:val="22"/>
          <w:lang w:val="en-US"/>
        </w:rPr>
        <w:t xml:space="preserve"> </w:t>
      </w:r>
      <w:r w:rsidR="00162D39" w:rsidRPr="00DB6D42">
        <w:rPr>
          <w:szCs w:val="22"/>
          <w:lang w:val="en-US"/>
        </w:rPr>
        <w:t xml:space="preserve">had </w:t>
      </w:r>
      <w:r w:rsidR="007C4642" w:rsidRPr="00DB6D42">
        <w:rPr>
          <w:szCs w:val="22"/>
          <w:lang w:val="en-US"/>
        </w:rPr>
        <w:t>at least o</w:t>
      </w:r>
      <w:r w:rsidR="00162D39" w:rsidRPr="00DB6D42">
        <w:rPr>
          <w:szCs w:val="22"/>
          <w:lang w:val="en-US"/>
        </w:rPr>
        <w:t>ne positive PCR until 12 months (no SR)</w:t>
      </w:r>
      <w:r w:rsidR="007C4642" w:rsidRPr="00DB6D42">
        <w:rPr>
          <w:szCs w:val="22"/>
          <w:lang w:val="en-US"/>
        </w:rPr>
        <w:t>, presented low parasite load</w:t>
      </w:r>
      <w:r w:rsidR="00DE2B3E" w:rsidRPr="00DB6D42">
        <w:rPr>
          <w:szCs w:val="22"/>
          <w:lang w:val="en-US"/>
        </w:rPr>
        <w:t xml:space="preserve">. </w:t>
      </w:r>
      <w:r w:rsidR="008D170A" w:rsidRPr="00DB6D42">
        <w:rPr>
          <w:szCs w:val="22"/>
          <w:lang w:val="en-US"/>
        </w:rPr>
        <w:t>Parasite levels in the LD</w:t>
      </w:r>
      <w:r w:rsidR="00DE2B3E" w:rsidRPr="00DB6D42">
        <w:rPr>
          <w:szCs w:val="22"/>
          <w:lang w:val="en-US"/>
        </w:rPr>
        <w:t xml:space="preserve"> and </w:t>
      </w:r>
      <w:r w:rsidR="008D170A" w:rsidRPr="00DB6D42">
        <w:rPr>
          <w:szCs w:val="22"/>
          <w:lang w:val="en-US"/>
        </w:rPr>
        <w:t>SD</w:t>
      </w:r>
      <w:r w:rsidR="00DE2B3E" w:rsidRPr="00DB6D42">
        <w:rPr>
          <w:szCs w:val="22"/>
          <w:lang w:val="en-US"/>
        </w:rPr>
        <w:t xml:space="preserve"> E1224</w:t>
      </w:r>
      <w:r w:rsidR="008D170A" w:rsidRPr="00DB6D42">
        <w:rPr>
          <w:szCs w:val="22"/>
          <w:lang w:val="en-US"/>
        </w:rPr>
        <w:t xml:space="preserve"> arms</w:t>
      </w:r>
      <w:r w:rsidR="00DE2B3E" w:rsidRPr="00DB6D42">
        <w:rPr>
          <w:szCs w:val="22"/>
          <w:lang w:val="en-US"/>
        </w:rPr>
        <w:t xml:space="preserve"> gradually returned to placebo levels. </w:t>
      </w:r>
      <w:r w:rsidR="008D170A" w:rsidRPr="00DB6D42">
        <w:rPr>
          <w:szCs w:val="22"/>
          <w:lang w:val="en-US"/>
        </w:rPr>
        <w:t>HD</w:t>
      </w:r>
      <w:r w:rsidR="00DE2B3E" w:rsidRPr="00DB6D42">
        <w:rPr>
          <w:szCs w:val="22"/>
          <w:lang w:val="en-US"/>
        </w:rPr>
        <w:t xml:space="preserve"> E1224 </w:t>
      </w:r>
      <w:r w:rsidR="0023791A" w:rsidRPr="00DB6D42">
        <w:rPr>
          <w:szCs w:val="22"/>
          <w:lang w:val="en-US"/>
        </w:rPr>
        <w:t xml:space="preserve">parasite load </w:t>
      </w:r>
      <w:r w:rsidR="00DE2B3E" w:rsidRPr="00DB6D42">
        <w:rPr>
          <w:szCs w:val="22"/>
          <w:lang w:val="en-US"/>
        </w:rPr>
        <w:t xml:space="preserve">remained significantly </w:t>
      </w:r>
      <w:r w:rsidR="0023791A" w:rsidRPr="00DB6D42">
        <w:rPr>
          <w:szCs w:val="22"/>
          <w:lang w:val="en-US"/>
        </w:rPr>
        <w:t xml:space="preserve">lower than </w:t>
      </w:r>
      <w:r w:rsidR="00DE2B3E" w:rsidRPr="00DB6D42">
        <w:rPr>
          <w:szCs w:val="22"/>
          <w:lang w:val="en-US"/>
        </w:rPr>
        <w:t>placebo, with no statistical difference from BZN</w:t>
      </w:r>
      <w:r w:rsidR="008D170A" w:rsidRPr="00DB6D42">
        <w:rPr>
          <w:szCs w:val="22"/>
          <w:lang w:val="en-US"/>
        </w:rPr>
        <w:t xml:space="preserve"> (</w:t>
      </w:r>
      <w:r w:rsidR="00097267" w:rsidRPr="00DB6D42">
        <w:rPr>
          <w:szCs w:val="22"/>
          <w:lang w:val="en-US"/>
        </w:rPr>
        <w:t>F</w:t>
      </w:r>
      <w:r w:rsidR="008D170A" w:rsidRPr="00DB6D42">
        <w:rPr>
          <w:szCs w:val="22"/>
          <w:lang w:val="en-US"/>
        </w:rPr>
        <w:t xml:space="preserve">igure </w:t>
      </w:r>
      <w:r w:rsidR="00C563ED" w:rsidRPr="00DB6D42">
        <w:rPr>
          <w:szCs w:val="22"/>
          <w:lang w:val="en-US"/>
        </w:rPr>
        <w:t>2</w:t>
      </w:r>
      <w:r w:rsidR="007D2405" w:rsidRPr="00DB6D42">
        <w:rPr>
          <w:szCs w:val="22"/>
          <w:lang w:val="en-US"/>
        </w:rPr>
        <w:t>A</w:t>
      </w:r>
      <w:r w:rsidR="008D170A" w:rsidRPr="00DB6D42">
        <w:rPr>
          <w:szCs w:val="22"/>
          <w:lang w:val="en-US"/>
        </w:rPr>
        <w:t>)</w:t>
      </w:r>
      <w:r w:rsidR="00DE2B3E" w:rsidRPr="00DB6D42">
        <w:rPr>
          <w:szCs w:val="22"/>
          <w:lang w:val="en-US"/>
        </w:rPr>
        <w:t>.</w:t>
      </w:r>
      <w:r w:rsidR="00EF50B4" w:rsidRPr="00DB6D42">
        <w:rPr>
          <w:szCs w:val="22"/>
          <w:lang w:val="en-US"/>
        </w:rPr>
        <w:t xml:space="preserve"> </w:t>
      </w:r>
    </w:p>
    <w:p w14:paraId="1429EAF5" w14:textId="4DC6D00E" w:rsidR="00B32B9F" w:rsidRPr="00DB6D42" w:rsidRDefault="00EF50B4" w:rsidP="00BB5FF5">
      <w:pPr>
        <w:spacing w:line="360" w:lineRule="auto"/>
        <w:jc w:val="both"/>
        <w:rPr>
          <w:szCs w:val="22"/>
          <w:lang w:val="en-US"/>
        </w:rPr>
      </w:pPr>
      <w:r w:rsidRPr="00DB6D42">
        <w:rPr>
          <w:szCs w:val="22"/>
          <w:lang w:val="en-US"/>
        </w:rPr>
        <w:t>In a</w:t>
      </w:r>
      <w:r w:rsidR="00CF31EE" w:rsidRPr="00DB6D42">
        <w:rPr>
          <w:szCs w:val="22"/>
          <w:lang w:val="en-US"/>
        </w:rPr>
        <w:t xml:space="preserve"> s</w:t>
      </w:r>
      <w:r w:rsidR="00DE2B3E" w:rsidRPr="00DB6D42">
        <w:rPr>
          <w:szCs w:val="22"/>
          <w:lang w:val="en-US"/>
        </w:rPr>
        <w:t>tepwise Cox model</w:t>
      </w:r>
      <w:r w:rsidRPr="00DB6D42">
        <w:rPr>
          <w:szCs w:val="22"/>
          <w:lang w:val="en-US"/>
        </w:rPr>
        <w:t>,</w:t>
      </w:r>
      <w:r w:rsidR="00CF31EE" w:rsidRPr="00DB6D42">
        <w:rPr>
          <w:szCs w:val="22"/>
          <w:lang w:val="en-US"/>
        </w:rPr>
        <w:t xml:space="preserve"> a</w:t>
      </w:r>
      <w:r w:rsidRPr="00DB6D42">
        <w:rPr>
          <w:szCs w:val="22"/>
          <w:lang w:val="en-US"/>
        </w:rPr>
        <w:t xml:space="preserve"> lower</w:t>
      </w:r>
      <w:r w:rsidR="00A60192" w:rsidRPr="00DB6D42">
        <w:rPr>
          <w:szCs w:val="22"/>
          <w:lang w:val="en-US"/>
        </w:rPr>
        <w:t xml:space="preserve"> </w:t>
      </w:r>
      <w:r w:rsidRPr="00DB6D42">
        <w:rPr>
          <w:szCs w:val="22"/>
          <w:lang w:val="en-US"/>
        </w:rPr>
        <w:t xml:space="preserve">risk </w:t>
      </w:r>
      <w:r w:rsidR="00DE2B3E" w:rsidRPr="00DB6D42">
        <w:rPr>
          <w:szCs w:val="22"/>
          <w:lang w:val="en-US"/>
        </w:rPr>
        <w:t xml:space="preserve">of relapse </w:t>
      </w:r>
      <w:r w:rsidRPr="00DB6D42">
        <w:rPr>
          <w:szCs w:val="22"/>
          <w:lang w:val="en-US"/>
        </w:rPr>
        <w:t xml:space="preserve">was </w:t>
      </w:r>
      <w:r w:rsidR="00752FA5" w:rsidRPr="00DB6D42">
        <w:rPr>
          <w:szCs w:val="22"/>
          <w:lang w:val="en-US"/>
        </w:rPr>
        <w:t>observed</w:t>
      </w:r>
      <w:r w:rsidR="002C5798" w:rsidRPr="00DB6D42">
        <w:rPr>
          <w:szCs w:val="22"/>
          <w:lang w:val="en-US"/>
        </w:rPr>
        <w:t xml:space="preserve"> </w:t>
      </w:r>
      <w:r w:rsidR="00DE2B3E" w:rsidRPr="00DB6D42">
        <w:rPr>
          <w:szCs w:val="22"/>
          <w:lang w:val="en-US"/>
        </w:rPr>
        <w:t xml:space="preserve">with </w:t>
      </w:r>
      <w:r w:rsidRPr="00DB6D42">
        <w:rPr>
          <w:szCs w:val="22"/>
          <w:lang w:val="en-US"/>
        </w:rPr>
        <w:t>BZN (HR=0</w:t>
      </w:r>
      <w:r w:rsidR="00AD205F" w:rsidRPr="00DB6D42">
        <w:rPr>
          <w:lang w:val="en-US"/>
        </w:rPr>
        <w:t>·</w:t>
      </w:r>
      <w:r w:rsidRPr="00DB6D42">
        <w:rPr>
          <w:szCs w:val="22"/>
          <w:lang w:val="en-US"/>
        </w:rPr>
        <w:t>06 (</w:t>
      </w:r>
      <w:r w:rsidR="002E6F2D" w:rsidRPr="00DB6D42">
        <w:rPr>
          <w:szCs w:val="22"/>
          <w:lang w:val="en-US"/>
        </w:rPr>
        <w:t xml:space="preserve">95%CI </w:t>
      </w:r>
      <w:r w:rsidRPr="00DB6D42">
        <w:rPr>
          <w:szCs w:val="22"/>
          <w:lang w:val="en-US"/>
        </w:rPr>
        <w:t>0</w:t>
      </w:r>
      <w:r w:rsidR="00AD205F" w:rsidRPr="00DB6D42">
        <w:rPr>
          <w:lang w:val="en-US"/>
        </w:rPr>
        <w:t>·</w:t>
      </w:r>
      <w:r w:rsidRPr="00DB6D42">
        <w:rPr>
          <w:szCs w:val="22"/>
          <w:lang w:val="en-US"/>
        </w:rPr>
        <w:t>02, 0</w:t>
      </w:r>
      <w:r w:rsidR="00AD205F" w:rsidRPr="00DB6D42">
        <w:rPr>
          <w:lang w:val="en-US"/>
        </w:rPr>
        <w:t>·</w:t>
      </w:r>
      <w:r w:rsidRPr="00DB6D42">
        <w:rPr>
          <w:szCs w:val="22"/>
          <w:lang w:val="en-US"/>
        </w:rPr>
        <w:t>21))</w:t>
      </w:r>
      <w:r w:rsidR="002E6F2D" w:rsidRPr="00DB6D42">
        <w:rPr>
          <w:szCs w:val="22"/>
          <w:lang w:val="en-US"/>
        </w:rPr>
        <w:t>, compared to placebo</w:t>
      </w:r>
      <w:r w:rsidR="00CF31EE" w:rsidRPr="00DB6D42">
        <w:rPr>
          <w:szCs w:val="22"/>
          <w:lang w:val="en-US"/>
        </w:rPr>
        <w:t>.</w:t>
      </w:r>
      <w:r w:rsidR="008C7C3F" w:rsidRPr="00DB6D42">
        <w:rPr>
          <w:szCs w:val="22"/>
          <w:lang w:val="en-US"/>
        </w:rPr>
        <w:t xml:space="preserve"> </w:t>
      </w:r>
      <w:r w:rsidR="002E6F2D" w:rsidRPr="00DB6D42">
        <w:rPr>
          <w:szCs w:val="22"/>
          <w:lang w:val="en-US"/>
        </w:rPr>
        <w:t>A</w:t>
      </w:r>
      <w:r w:rsidR="00E031F7" w:rsidRPr="00DB6D42">
        <w:rPr>
          <w:szCs w:val="22"/>
          <w:lang w:val="en-US"/>
        </w:rPr>
        <w:t>n</w:t>
      </w:r>
      <w:r w:rsidR="002E6F2D" w:rsidRPr="00DB6D42">
        <w:rPr>
          <w:szCs w:val="22"/>
          <w:lang w:val="en-US"/>
        </w:rPr>
        <w:t xml:space="preserve"> </w:t>
      </w:r>
      <w:r w:rsidR="00E031F7" w:rsidRPr="00DB6D42">
        <w:rPr>
          <w:szCs w:val="22"/>
          <w:lang w:val="en-US"/>
        </w:rPr>
        <w:t xml:space="preserve">increased hazard of parasitological relapse </w:t>
      </w:r>
      <w:r w:rsidR="002E6F2D" w:rsidRPr="00DB6D42">
        <w:rPr>
          <w:szCs w:val="22"/>
          <w:lang w:val="en-US"/>
        </w:rPr>
        <w:t xml:space="preserve">was independently associated with a significant </w:t>
      </w:r>
      <w:r w:rsidR="00E031F7" w:rsidRPr="00DB6D42">
        <w:rPr>
          <w:szCs w:val="22"/>
          <w:lang w:val="en-US"/>
        </w:rPr>
        <w:t xml:space="preserve">higher baseline parasite load </w:t>
      </w:r>
      <w:r w:rsidR="000E50F1" w:rsidRPr="00DB6D42">
        <w:rPr>
          <w:szCs w:val="22"/>
          <w:lang w:val="en-US"/>
        </w:rPr>
        <w:t>(HR=1</w:t>
      </w:r>
      <w:r w:rsidR="00AD205F" w:rsidRPr="00DB6D42">
        <w:rPr>
          <w:lang w:val="en-US"/>
        </w:rPr>
        <w:t>·</w:t>
      </w:r>
      <w:r w:rsidR="000E50F1" w:rsidRPr="00DB6D42">
        <w:rPr>
          <w:szCs w:val="22"/>
          <w:lang w:val="en-US"/>
        </w:rPr>
        <w:t>10, 95% CI: [1</w:t>
      </w:r>
      <w:r w:rsidR="00AD205F" w:rsidRPr="00DB6D42">
        <w:rPr>
          <w:lang w:val="en-US"/>
        </w:rPr>
        <w:t>·</w:t>
      </w:r>
      <w:r w:rsidR="000E50F1" w:rsidRPr="00DB6D42">
        <w:rPr>
          <w:szCs w:val="22"/>
          <w:lang w:val="en-US"/>
        </w:rPr>
        <w:t>03, 1</w:t>
      </w:r>
      <w:r w:rsidR="00AD205F" w:rsidRPr="00DB6D42">
        <w:rPr>
          <w:lang w:val="en-US"/>
        </w:rPr>
        <w:t>·</w:t>
      </w:r>
      <w:r w:rsidR="000E50F1" w:rsidRPr="00DB6D42">
        <w:rPr>
          <w:szCs w:val="22"/>
          <w:lang w:val="en-US"/>
        </w:rPr>
        <w:t>16])</w:t>
      </w:r>
      <w:r w:rsidR="007A3C3B" w:rsidRPr="00DB6D42">
        <w:rPr>
          <w:szCs w:val="22"/>
          <w:lang w:val="en-US"/>
        </w:rPr>
        <w:t xml:space="preserve"> (Table 3)</w:t>
      </w:r>
      <w:r w:rsidR="000E50F1" w:rsidRPr="00DB6D42">
        <w:rPr>
          <w:szCs w:val="22"/>
          <w:lang w:val="en-US"/>
        </w:rPr>
        <w:t>.</w:t>
      </w:r>
    </w:p>
    <w:p w14:paraId="27276ECE" w14:textId="6C859CD6" w:rsidR="002E6F2D" w:rsidRPr="00DB6D42" w:rsidRDefault="002E6F2D" w:rsidP="00BB5FF5">
      <w:pPr>
        <w:autoSpaceDE w:val="0"/>
        <w:autoSpaceDN w:val="0"/>
        <w:adjustRightInd w:val="0"/>
        <w:spacing w:after="0" w:line="360" w:lineRule="auto"/>
        <w:jc w:val="both"/>
        <w:rPr>
          <w:lang w:val="en-US"/>
        </w:rPr>
      </w:pPr>
      <w:r w:rsidRPr="00DB6D42">
        <w:rPr>
          <w:lang w:val="en-US"/>
        </w:rPr>
        <w:t xml:space="preserve">Among adult patients </w:t>
      </w:r>
      <w:r w:rsidR="000C2B0A" w:rsidRPr="00DB6D42">
        <w:rPr>
          <w:lang w:val="en-US"/>
        </w:rPr>
        <w:t xml:space="preserve">after </w:t>
      </w:r>
      <w:r w:rsidRPr="00DB6D42">
        <w:rPr>
          <w:lang w:val="en-US"/>
        </w:rPr>
        <w:t xml:space="preserve">12 months </w:t>
      </w:r>
      <w:r w:rsidR="002122D1" w:rsidRPr="00DB6D42">
        <w:rPr>
          <w:lang w:val="en-US"/>
        </w:rPr>
        <w:t xml:space="preserve">of </w:t>
      </w:r>
      <w:r w:rsidRPr="00DB6D42">
        <w:rPr>
          <w:lang w:val="en-US"/>
        </w:rPr>
        <w:t xml:space="preserve">follow-up, the analyses of conventional serology showed no statistically significant differences between active treatment and placebo at any timepoint. </w:t>
      </w:r>
      <w:r w:rsidR="00287899" w:rsidRPr="00DB6D42">
        <w:rPr>
          <w:lang w:val="en-US"/>
        </w:rPr>
        <w:t>However, t</w:t>
      </w:r>
      <w:r w:rsidRPr="00DB6D42">
        <w:rPr>
          <w:lang w:val="en-US"/>
        </w:rPr>
        <w:t xml:space="preserve">here was a </w:t>
      </w:r>
      <w:r w:rsidR="00A86C88" w:rsidRPr="00DB6D42">
        <w:rPr>
          <w:lang w:val="en-US"/>
        </w:rPr>
        <w:t xml:space="preserve">small, </w:t>
      </w:r>
      <w:r w:rsidRPr="00DB6D42">
        <w:rPr>
          <w:lang w:val="en-US"/>
        </w:rPr>
        <w:t xml:space="preserve">statistically significant reduction in </w:t>
      </w:r>
      <w:r w:rsidR="00494D93" w:rsidRPr="00DB6D42">
        <w:rPr>
          <w:lang w:val="en-US"/>
        </w:rPr>
        <w:t>the titer</w:t>
      </w:r>
      <w:r w:rsidR="00F921CA" w:rsidRPr="00DB6D42">
        <w:rPr>
          <w:lang w:val="en-US"/>
        </w:rPr>
        <w:t>s</w:t>
      </w:r>
      <w:r w:rsidR="00494D93" w:rsidRPr="00DB6D42">
        <w:rPr>
          <w:lang w:val="en-US"/>
        </w:rPr>
        <w:t xml:space="preserve"> of </w:t>
      </w:r>
      <w:proofErr w:type="spellStart"/>
      <w:r w:rsidR="00353DF2" w:rsidRPr="00DB6D42">
        <w:rPr>
          <w:lang w:val="en-US"/>
        </w:rPr>
        <w:t>trypano</w:t>
      </w:r>
      <w:r w:rsidR="00494D93" w:rsidRPr="00DB6D42">
        <w:rPr>
          <w:lang w:val="en-US"/>
        </w:rPr>
        <w:t>lytic</w:t>
      </w:r>
      <w:proofErr w:type="spellEnd"/>
      <w:r w:rsidR="00494D93" w:rsidRPr="00DB6D42">
        <w:rPr>
          <w:lang w:val="en-US"/>
        </w:rPr>
        <w:t xml:space="preserve"> anti-</w:t>
      </w:r>
      <w:r w:rsidR="00494D93" w:rsidRPr="00DB6D42">
        <w:rPr>
          <w:rFonts w:cs="Arial"/>
          <w:lang w:val="en-US"/>
        </w:rPr>
        <w:t>α</w:t>
      </w:r>
      <w:r w:rsidR="00494D93" w:rsidRPr="00DB6D42">
        <w:rPr>
          <w:lang w:val="en-US"/>
        </w:rPr>
        <w:t xml:space="preserve">-Gal antibodies, as measured by </w:t>
      </w:r>
      <w:r w:rsidRPr="00DB6D42">
        <w:rPr>
          <w:lang w:val="en-US"/>
        </w:rPr>
        <w:t>AT</w:t>
      </w:r>
      <w:r w:rsidR="00B775EC" w:rsidRPr="00DB6D42">
        <w:rPr>
          <w:lang w:val="en-US"/>
        </w:rPr>
        <w:t xml:space="preserve"> CL-</w:t>
      </w:r>
      <w:r w:rsidRPr="00DB6D42">
        <w:rPr>
          <w:lang w:val="en-US"/>
        </w:rPr>
        <w:t>ELISA</w:t>
      </w:r>
      <w:r w:rsidR="00494D93" w:rsidRPr="00DB6D42">
        <w:rPr>
          <w:lang w:val="en-US"/>
        </w:rPr>
        <w:t xml:space="preserve">, </w:t>
      </w:r>
      <w:r w:rsidRPr="00DB6D42">
        <w:rPr>
          <w:lang w:val="en-US"/>
        </w:rPr>
        <w:t>among BZN-treated patients versus placebo</w:t>
      </w:r>
      <w:r w:rsidR="00494D93" w:rsidRPr="00DB6D42">
        <w:rPr>
          <w:lang w:val="en-US"/>
        </w:rPr>
        <w:t>-treated patients</w:t>
      </w:r>
      <w:r w:rsidRPr="00DB6D42">
        <w:rPr>
          <w:lang w:val="en-US"/>
        </w:rPr>
        <w:t xml:space="preserve"> at 12 months</w:t>
      </w:r>
      <w:r w:rsidR="0023791A" w:rsidRPr="00DB6D42">
        <w:rPr>
          <w:lang w:val="en-US"/>
        </w:rPr>
        <w:t xml:space="preserve"> (</w:t>
      </w:r>
      <w:r w:rsidR="00A86C88" w:rsidRPr="00DB6D42">
        <w:rPr>
          <w:lang w:val="en-US"/>
        </w:rPr>
        <w:t xml:space="preserve">geometric mean </w:t>
      </w:r>
      <w:r w:rsidR="00A86C88" w:rsidRPr="00DB6D42">
        <w:rPr>
          <w:lang w:val="en-US"/>
        </w:rPr>
        <w:lastRenderedPageBreak/>
        <w:t>ratio: treatment/placebo 0</w:t>
      </w:r>
      <w:r w:rsidR="00BD0C99" w:rsidRPr="00DB6D42">
        <w:rPr>
          <w:lang w:val="en-US"/>
        </w:rPr>
        <w:t>·</w:t>
      </w:r>
      <w:r w:rsidR="00A86C88" w:rsidRPr="00DB6D42">
        <w:rPr>
          <w:lang w:val="en-US"/>
        </w:rPr>
        <w:t>813 (0</w:t>
      </w:r>
      <w:r w:rsidR="00BD0C99" w:rsidRPr="00DB6D42">
        <w:rPr>
          <w:lang w:val="en-US"/>
        </w:rPr>
        <w:t>·</w:t>
      </w:r>
      <w:r w:rsidR="00A86C88" w:rsidRPr="00DB6D42">
        <w:rPr>
          <w:lang w:val="en-US"/>
        </w:rPr>
        <w:t>662, 0</w:t>
      </w:r>
      <w:r w:rsidR="00BD0C99" w:rsidRPr="00DB6D42">
        <w:rPr>
          <w:lang w:val="en-US"/>
        </w:rPr>
        <w:t>·</w:t>
      </w:r>
      <w:r w:rsidR="00A86C88" w:rsidRPr="00DB6D42">
        <w:rPr>
          <w:lang w:val="en-US"/>
        </w:rPr>
        <w:t>999), p=0</w:t>
      </w:r>
      <w:r w:rsidR="00BD0C99" w:rsidRPr="00DB6D42">
        <w:rPr>
          <w:lang w:val="en-US"/>
        </w:rPr>
        <w:t>·</w:t>
      </w:r>
      <w:r w:rsidR="00A86C88" w:rsidRPr="00DB6D42">
        <w:rPr>
          <w:lang w:val="en-US"/>
        </w:rPr>
        <w:t xml:space="preserve">049); </w:t>
      </w:r>
      <w:r w:rsidR="0051013C" w:rsidRPr="00DB6D42">
        <w:rPr>
          <w:lang w:val="en-US"/>
        </w:rPr>
        <w:t>F</w:t>
      </w:r>
      <w:r w:rsidR="0023791A" w:rsidRPr="00DB6D42">
        <w:rPr>
          <w:lang w:val="en-US"/>
        </w:rPr>
        <w:t>igure 3)</w:t>
      </w:r>
      <w:r w:rsidRPr="00DB6D42">
        <w:rPr>
          <w:lang w:val="en-US"/>
        </w:rPr>
        <w:t>.</w:t>
      </w:r>
      <w:r w:rsidR="00B775EC" w:rsidRPr="00DB6D42">
        <w:rPr>
          <w:lang w:val="en-US"/>
        </w:rPr>
        <w:t xml:space="preserve"> </w:t>
      </w:r>
      <w:r w:rsidR="00F07F14" w:rsidRPr="00DB6D42">
        <w:rPr>
          <w:lang w:val="en-US"/>
        </w:rPr>
        <w:t xml:space="preserve">Five patients in the BZN-treated group had a negative AT CL-ELISA result, in contrast to two patients in the placebo-treated group, at the end of the study follow-up. </w:t>
      </w:r>
      <w:r w:rsidR="00566021" w:rsidRPr="00DB6D42">
        <w:rPr>
          <w:lang w:val="en-US"/>
        </w:rPr>
        <w:t xml:space="preserve">Nine percent (4/44) of treated patients negatively seroconverted for the AT CL-ELISA at the end of the follow-up. </w:t>
      </w:r>
      <w:r w:rsidR="00F07F14" w:rsidRPr="00DB6D42">
        <w:rPr>
          <w:lang w:val="en-US"/>
        </w:rPr>
        <w:t xml:space="preserve">Two patients in BZN-treated group and one in the placebo-treated group showed inconclusive results (titer &lt;1.0, </w:t>
      </w:r>
      <w:r w:rsidR="00240776" w:rsidRPr="00DB6D42">
        <w:rPr>
          <w:rFonts w:cs="Arial"/>
          <w:lang w:val="en-US"/>
        </w:rPr>
        <w:t>≥</w:t>
      </w:r>
      <w:r w:rsidR="00F07F14" w:rsidRPr="00DB6D42">
        <w:rPr>
          <w:lang w:val="en-US"/>
        </w:rPr>
        <w:t xml:space="preserve">0.9). </w:t>
      </w:r>
    </w:p>
    <w:p w14:paraId="7A512849" w14:textId="5CDEB254" w:rsidR="009727AB" w:rsidRPr="00DB6D42" w:rsidRDefault="00B32B9F" w:rsidP="00BB5FF5">
      <w:pPr>
        <w:spacing w:before="80" w:after="80" w:line="360" w:lineRule="auto"/>
        <w:jc w:val="both"/>
        <w:rPr>
          <w:szCs w:val="22"/>
          <w:lang w:val="en-US"/>
        </w:rPr>
      </w:pPr>
      <w:r w:rsidRPr="00DB6D42">
        <w:rPr>
          <w:szCs w:val="22"/>
          <w:lang w:val="en-US"/>
        </w:rPr>
        <w:t>No deaths occurred during the trial. Overall, 81</w:t>
      </w:r>
      <w:r w:rsidR="00AD205F" w:rsidRPr="00DB6D42">
        <w:rPr>
          <w:lang w:val="en-US"/>
        </w:rPr>
        <w:t>·</w:t>
      </w:r>
      <w:r w:rsidRPr="00DB6D42">
        <w:rPr>
          <w:szCs w:val="22"/>
          <w:lang w:val="en-US"/>
        </w:rPr>
        <w:t>0% of subjects developed treatment-emergent AEs</w:t>
      </w:r>
      <w:r w:rsidR="009F1C81" w:rsidRPr="00DB6D42">
        <w:rPr>
          <w:szCs w:val="22"/>
          <w:lang w:val="en-US"/>
        </w:rPr>
        <w:t xml:space="preserve"> (TEAEs)</w:t>
      </w:r>
      <w:r w:rsidR="00292F0F" w:rsidRPr="00DB6D42">
        <w:rPr>
          <w:szCs w:val="22"/>
          <w:lang w:val="en-US"/>
        </w:rPr>
        <w:t xml:space="preserve"> (Table </w:t>
      </w:r>
      <w:r w:rsidR="0055493D" w:rsidRPr="00DB6D42">
        <w:rPr>
          <w:szCs w:val="22"/>
          <w:lang w:val="en-US"/>
        </w:rPr>
        <w:t>4</w:t>
      </w:r>
      <w:r w:rsidR="00292F0F" w:rsidRPr="00DB6D42">
        <w:rPr>
          <w:szCs w:val="22"/>
          <w:lang w:val="en-US"/>
        </w:rPr>
        <w:t>)</w:t>
      </w:r>
      <w:r w:rsidR="00C70BEE" w:rsidRPr="00DB6D42">
        <w:rPr>
          <w:szCs w:val="22"/>
          <w:lang w:val="en-US"/>
        </w:rPr>
        <w:t>.</w:t>
      </w:r>
      <w:r w:rsidRPr="00DB6D42">
        <w:rPr>
          <w:szCs w:val="22"/>
          <w:lang w:val="en-US"/>
        </w:rPr>
        <w:t xml:space="preserve"> The BZN treatment arm had the highest proportion of TEAEs considered related to treatment (64</w:t>
      </w:r>
      <w:r w:rsidR="00AD205F" w:rsidRPr="00DB6D42">
        <w:rPr>
          <w:lang w:val="en-US"/>
        </w:rPr>
        <w:t>·</w:t>
      </w:r>
      <w:r w:rsidRPr="00DB6D42">
        <w:rPr>
          <w:szCs w:val="22"/>
          <w:lang w:val="en-US"/>
        </w:rPr>
        <w:t>4%), compared with 52</w:t>
      </w:r>
      <w:r w:rsidR="00AD205F" w:rsidRPr="00DB6D42">
        <w:rPr>
          <w:lang w:val="en-US"/>
        </w:rPr>
        <w:t>·</w:t>
      </w:r>
      <w:r w:rsidRPr="00DB6D42">
        <w:rPr>
          <w:szCs w:val="22"/>
          <w:lang w:val="en-US"/>
        </w:rPr>
        <w:t>2%, 44</w:t>
      </w:r>
      <w:r w:rsidR="00AD205F" w:rsidRPr="00DB6D42">
        <w:rPr>
          <w:lang w:val="en-US"/>
        </w:rPr>
        <w:t>·</w:t>
      </w:r>
      <w:r w:rsidRPr="00DB6D42">
        <w:rPr>
          <w:szCs w:val="22"/>
          <w:lang w:val="en-US"/>
        </w:rPr>
        <w:t>4%, and 31</w:t>
      </w:r>
      <w:r w:rsidR="00AD205F" w:rsidRPr="00DB6D42">
        <w:rPr>
          <w:lang w:val="en-US"/>
        </w:rPr>
        <w:t>·</w:t>
      </w:r>
      <w:r w:rsidRPr="00DB6D42">
        <w:rPr>
          <w:szCs w:val="22"/>
          <w:lang w:val="en-US"/>
        </w:rPr>
        <w:t xml:space="preserve">3% in </w:t>
      </w:r>
      <w:r w:rsidR="008F7801" w:rsidRPr="00DB6D42">
        <w:rPr>
          <w:szCs w:val="22"/>
          <w:lang w:val="en-US"/>
        </w:rPr>
        <w:t xml:space="preserve">E1224 </w:t>
      </w:r>
      <w:r w:rsidRPr="00DB6D42">
        <w:rPr>
          <w:szCs w:val="22"/>
          <w:lang w:val="en-US"/>
        </w:rPr>
        <w:t xml:space="preserve">SD, HD, and LD arms, respectively. </w:t>
      </w:r>
      <w:r w:rsidR="008F7801" w:rsidRPr="00DB6D42">
        <w:rPr>
          <w:szCs w:val="22"/>
          <w:lang w:val="en-US"/>
        </w:rPr>
        <w:t>N</w:t>
      </w:r>
      <w:r w:rsidRPr="00DB6D42">
        <w:rPr>
          <w:szCs w:val="22"/>
          <w:lang w:val="en-US"/>
        </w:rPr>
        <w:t xml:space="preserve">ine subjects experienced 14 TEAEs resulting in treatment </w:t>
      </w:r>
      <w:r w:rsidR="000E50F1" w:rsidRPr="00DB6D42">
        <w:rPr>
          <w:szCs w:val="22"/>
          <w:lang w:val="en-US"/>
        </w:rPr>
        <w:t xml:space="preserve">suspension or </w:t>
      </w:r>
      <w:r w:rsidRPr="00DB6D42">
        <w:rPr>
          <w:szCs w:val="22"/>
          <w:lang w:val="en-US"/>
        </w:rPr>
        <w:t>discontinuation, five (11</w:t>
      </w:r>
      <w:r w:rsidR="00AD205F" w:rsidRPr="00DB6D42">
        <w:rPr>
          <w:lang w:val="en-US"/>
        </w:rPr>
        <w:t>·</w:t>
      </w:r>
      <w:r w:rsidRPr="00DB6D42">
        <w:rPr>
          <w:szCs w:val="22"/>
          <w:lang w:val="en-US"/>
        </w:rPr>
        <w:t xml:space="preserve">1%) in the </w:t>
      </w:r>
      <w:r w:rsidR="0023791A" w:rsidRPr="00DB6D42">
        <w:rPr>
          <w:szCs w:val="22"/>
          <w:lang w:val="en-US"/>
        </w:rPr>
        <w:t xml:space="preserve">E1224 </w:t>
      </w:r>
      <w:r w:rsidRPr="00DB6D42">
        <w:rPr>
          <w:szCs w:val="22"/>
          <w:lang w:val="en-US"/>
        </w:rPr>
        <w:t>HD arm and four (8</w:t>
      </w:r>
      <w:r w:rsidR="00AD205F" w:rsidRPr="00DB6D42">
        <w:rPr>
          <w:lang w:val="en-US"/>
        </w:rPr>
        <w:t>·</w:t>
      </w:r>
      <w:r w:rsidRPr="00DB6D42">
        <w:rPr>
          <w:szCs w:val="22"/>
          <w:lang w:val="en-US"/>
        </w:rPr>
        <w:t>9%) in the BZN arm</w:t>
      </w:r>
      <w:r w:rsidR="00292F0F" w:rsidRPr="00DB6D42">
        <w:rPr>
          <w:szCs w:val="22"/>
          <w:lang w:val="en-US"/>
        </w:rPr>
        <w:t xml:space="preserve"> (Table 3)</w:t>
      </w:r>
      <w:r w:rsidRPr="00DB6D42">
        <w:rPr>
          <w:szCs w:val="22"/>
          <w:lang w:val="en-US"/>
        </w:rPr>
        <w:t xml:space="preserve">. Among these, six were </w:t>
      </w:r>
      <w:r w:rsidRPr="00DB6D42">
        <w:rPr>
          <w:rFonts w:cs="Arial"/>
          <w:szCs w:val="22"/>
          <w:lang w:val="en-US"/>
        </w:rPr>
        <w:t>≥</w:t>
      </w:r>
      <w:r w:rsidRPr="00DB6D42">
        <w:rPr>
          <w:szCs w:val="22"/>
          <w:lang w:val="en-US"/>
        </w:rPr>
        <w:t xml:space="preserve">grade 3, and included </w:t>
      </w:r>
      <w:r w:rsidR="00F14C1B" w:rsidRPr="00DB6D42">
        <w:rPr>
          <w:szCs w:val="22"/>
          <w:lang w:val="en-US"/>
        </w:rPr>
        <w:t>ALT</w:t>
      </w:r>
      <w:r w:rsidRPr="00DB6D42">
        <w:rPr>
          <w:szCs w:val="22"/>
          <w:lang w:val="en-US"/>
        </w:rPr>
        <w:t xml:space="preserve">, </w:t>
      </w:r>
      <w:r w:rsidR="00780EF2" w:rsidRPr="00DB6D42">
        <w:rPr>
          <w:szCs w:val="22"/>
          <w:lang w:val="en-US"/>
        </w:rPr>
        <w:t>AST</w:t>
      </w:r>
      <w:r w:rsidRPr="00DB6D42">
        <w:rPr>
          <w:szCs w:val="22"/>
          <w:lang w:val="en-US"/>
        </w:rPr>
        <w:t xml:space="preserve">, </w:t>
      </w:r>
      <w:r w:rsidR="00702049" w:rsidRPr="00DB6D42">
        <w:rPr>
          <w:szCs w:val="22"/>
          <w:lang w:val="en-US"/>
        </w:rPr>
        <w:t xml:space="preserve">and </w:t>
      </w:r>
      <w:r w:rsidR="00780EF2" w:rsidRPr="00DB6D42">
        <w:rPr>
          <w:szCs w:val="22"/>
          <w:lang w:val="en-US"/>
        </w:rPr>
        <w:t>GGT</w:t>
      </w:r>
      <w:r w:rsidR="00702049" w:rsidRPr="00DB6D42">
        <w:rPr>
          <w:szCs w:val="22"/>
          <w:lang w:val="en-US"/>
        </w:rPr>
        <w:t xml:space="preserve"> increases</w:t>
      </w:r>
      <w:r w:rsidRPr="00DB6D42">
        <w:rPr>
          <w:szCs w:val="22"/>
          <w:lang w:val="en-US"/>
        </w:rPr>
        <w:t>, and infective cholecystitis.</w:t>
      </w:r>
    </w:p>
    <w:p w14:paraId="1683708F" w14:textId="199ED8F2" w:rsidR="009727AB" w:rsidRPr="00DB6D42" w:rsidRDefault="00B32B9F" w:rsidP="00BB5FF5">
      <w:pPr>
        <w:spacing w:before="80" w:after="80" w:line="360" w:lineRule="auto"/>
        <w:jc w:val="both"/>
        <w:rPr>
          <w:szCs w:val="22"/>
          <w:lang w:val="en-US"/>
        </w:rPr>
      </w:pPr>
      <w:r w:rsidRPr="00DB6D42">
        <w:rPr>
          <w:szCs w:val="22"/>
          <w:lang w:val="en-US"/>
        </w:rPr>
        <w:t xml:space="preserve">Six patients experienced </w:t>
      </w:r>
      <w:r w:rsidR="00A41F06" w:rsidRPr="00DB6D42">
        <w:rPr>
          <w:szCs w:val="22"/>
          <w:lang w:val="en-US"/>
        </w:rPr>
        <w:t>S</w:t>
      </w:r>
      <w:r w:rsidR="00AF3888" w:rsidRPr="00DB6D42">
        <w:rPr>
          <w:szCs w:val="22"/>
          <w:lang w:val="en-US"/>
        </w:rPr>
        <w:t xml:space="preserve">erious </w:t>
      </w:r>
      <w:r w:rsidR="00A41F06" w:rsidRPr="00DB6D42">
        <w:rPr>
          <w:szCs w:val="22"/>
          <w:lang w:val="en-US"/>
        </w:rPr>
        <w:t>A</w:t>
      </w:r>
      <w:r w:rsidR="00AF3888" w:rsidRPr="00DB6D42">
        <w:rPr>
          <w:szCs w:val="22"/>
          <w:lang w:val="en-US"/>
        </w:rPr>
        <w:t xml:space="preserve">dverse </w:t>
      </w:r>
      <w:r w:rsidR="00A41F06" w:rsidRPr="00DB6D42">
        <w:rPr>
          <w:szCs w:val="22"/>
          <w:lang w:val="en-US"/>
        </w:rPr>
        <w:t>E</w:t>
      </w:r>
      <w:r w:rsidR="00AF3888" w:rsidRPr="00DB6D42">
        <w:rPr>
          <w:szCs w:val="22"/>
          <w:lang w:val="en-US"/>
        </w:rPr>
        <w:t>vent</w:t>
      </w:r>
      <w:r w:rsidR="00A41F06" w:rsidRPr="00DB6D42">
        <w:rPr>
          <w:szCs w:val="22"/>
          <w:lang w:val="en-US"/>
        </w:rPr>
        <w:t>s</w:t>
      </w:r>
      <w:r w:rsidR="00AF3888" w:rsidRPr="00DB6D42">
        <w:rPr>
          <w:szCs w:val="22"/>
          <w:lang w:val="en-US"/>
        </w:rPr>
        <w:t xml:space="preserve"> (SAEs)</w:t>
      </w:r>
      <w:r w:rsidRPr="00DB6D42">
        <w:rPr>
          <w:szCs w:val="22"/>
          <w:lang w:val="en-US"/>
        </w:rPr>
        <w:t>, two of which occurred within 75 days from the start of treatment (</w:t>
      </w:r>
      <w:r w:rsidR="00A60672" w:rsidRPr="00DB6D42">
        <w:rPr>
          <w:szCs w:val="22"/>
          <w:lang w:val="en-US"/>
        </w:rPr>
        <w:t xml:space="preserve">n=1 </w:t>
      </w:r>
      <w:r w:rsidRPr="00DB6D42">
        <w:rPr>
          <w:szCs w:val="22"/>
          <w:lang w:val="en-US"/>
        </w:rPr>
        <w:t>in HD arm</w:t>
      </w:r>
      <w:r w:rsidR="00A60672" w:rsidRPr="00DB6D42">
        <w:rPr>
          <w:szCs w:val="22"/>
          <w:lang w:val="en-US"/>
        </w:rPr>
        <w:t>,</w:t>
      </w:r>
      <w:r w:rsidR="004A1571" w:rsidRPr="00DB6D42">
        <w:rPr>
          <w:szCs w:val="22"/>
          <w:lang w:val="en-US"/>
        </w:rPr>
        <w:t xml:space="preserve"> </w:t>
      </w:r>
      <w:r w:rsidR="00A60672" w:rsidRPr="00DB6D42">
        <w:rPr>
          <w:szCs w:val="22"/>
          <w:lang w:val="en-US"/>
        </w:rPr>
        <w:t>n=1</w:t>
      </w:r>
      <w:r w:rsidRPr="00DB6D42">
        <w:rPr>
          <w:szCs w:val="22"/>
          <w:lang w:val="en-US"/>
        </w:rPr>
        <w:t xml:space="preserve"> in BZN arm)</w:t>
      </w:r>
      <w:r w:rsidR="00292F0F" w:rsidRPr="00DB6D42">
        <w:rPr>
          <w:szCs w:val="22"/>
          <w:lang w:val="en-US"/>
        </w:rPr>
        <w:t xml:space="preserve"> (Table </w:t>
      </w:r>
      <w:r w:rsidR="007A3C3B" w:rsidRPr="00DB6D42">
        <w:rPr>
          <w:szCs w:val="22"/>
          <w:lang w:val="en-US"/>
        </w:rPr>
        <w:t>4</w:t>
      </w:r>
      <w:r w:rsidR="00292F0F" w:rsidRPr="00DB6D42">
        <w:rPr>
          <w:szCs w:val="22"/>
          <w:lang w:val="en-US"/>
        </w:rPr>
        <w:t>)</w:t>
      </w:r>
      <w:r w:rsidRPr="00DB6D42">
        <w:rPr>
          <w:szCs w:val="22"/>
          <w:lang w:val="en-US"/>
        </w:rPr>
        <w:t xml:space="preserve">. </w:t>
      </w:r>
      <w:r w:rsidR="00702049" w:rsidRPr="00DB6D42">
        <w:rPr>
          <w:szCs w:val="22"/>
          <w:lang w:val="en-US"/>
        </w:rPr>
        <w:t>T</w:t>
      </w:r>
      <w:r w:rsidRPr="00DB6D42">
        <w:rPr>
          <w:szCs w:val="22"/>
          <w:lang w:val="en-US"/>
        </w:rPr>
        <w:t xml:space="preserve">hree </w:t>
      </w:r>
      <w:r w:rsidR="00702049" w:rsidRPr="00DB6D42">
        <w:rPr>
          <w:szCs w:val="22"/>
          <w:lang w:val="en-US"/>
        </w:rPr>
        <w:t xml:space="preserve">SAEs occurred </w:t>
      </w:r>
      <w:r w:rsidRPr="00DB6D42">
        <w:rPr>
          <w:szCs w:val="22"/>
          <w:lang w:val="en-US"/>
        </w:rPr>
        <w:t xml:space="preserve">in the HD E1224 arm (infective cholecystitis, two spontaneous abortions), two in the BZN arm (bronchitis, blighted ovum), and one in the SD E1224 arm (appendicitis). The SAEs of spontaneous abortion were considered </w:t>
      </w:r>
      <w:r w:rsidR="00851829" w:rsidRPr="00DB6D42">
        <w:rPr>
          <w:szCs w:val="22"/>
          <w:lang w:val="en-US"/>
        </w:rPr>
        <w:t xml:space="preserve">possibly </w:t>
      </w:r>
      <w:r w:rsidRPr="00DB6D42">
        <w:rPr>
          <w:szCs w:val="22"/>
          <w:lang w:val="en-US"/>
        </w:rPr>
        <w:t>related to study treatment.</w:t>
      </w:r>
      <w:r w:rsidR="00A41F06" w:rsidRPr="00DB6D42">
        <w:rPr>
          <w:szCs w:val="22"/>
          <w:lang w:val="en-US"/>
        </w:rPr>
        <w:t xml:space="preserve"> All </w:t>
      </w:r>
      <w:r w:rsidR="00945ABB" w:rsidRPr="00DB6D42">
        <w:rPr>
          <w:szCs w:val="22"/>
          <w:lang w:val="en-US"/>
        </w:rPr>
        <w:t xml:space="preserve">other </w:t>
      </w:r>
      <w:r w:rsidR="00A41F06" w:rsidRPr="00DB6D42">
        <w:rPr>
          <w:szCs w:val="22"/>
          <w:lang w:val="en-US"/>
        </w:rPr>
        <w:t>SAEs recovered completely.</w:t>
      </w:r>
    </w:p>
    <w:p w14:paraId="4B81D120" w14:textId="77777777" w:rsidR="006D3583" w:rsidRPr="00DB6D42" w:rsidRDefault="00B32B9F" w:rsidP="00BB5FF5">
      <w:pPr>
        <w:spacing w:before="80" w:after="80" w:line="360" w:lineRule="auto"/>
        <w:jc w:val="both"/>
        <w:rPr>
          <w:rFonts w:cs="Arial"/>
          <w:szCs w:val="21"/>
        </w:rPr>
      </w:pPr>
      <w:r w:rsidRPr="00DB6D42">
        <w:rPr>
          <w:szCs w:val="22"/>
          <w:lang w:val="en-US"/>
        </w:rPr>
        <w:t xml:space="preserve">Among the most common TEAEs (&gt;10%), there </w:t>
      </w:r>
      <w:r w:rsidR="008232E5" w:rsidRPr="00DB6D42">
        <w:rPr>
          <w:szCs w:val="22"/>
          <w:lang w:val="en-US"/>
        </w:rPr>
        <w:t xml:space="preserve">was a higher frequency of </w:t>
      </w:r>
      <w:r w:rsidRPr="00DB6D42">
        <w:rPr>
          <w:szCs w:val="22"/>
          <w:lang w:val="en-US"/>
        </w:rPr>
        <w:t>headache</w:t>
      </w:r>
      <w:r w:rsidR="00A75D40" w:rsidRPr="00DB6D42">
        <w:rPr>
          <w:szCs w:val="22"/>
          <w:lang w:val="en-US"/>
        </w:rPr>
        <w:t>s</w:t>
      </w:r>
      <w:r w:rsidRPr="00DB6D42">
        <w:rPr>
          <w:szCs w:val="22"/>
          <w:lang w:val="en-US"/>
        </w:rPr>
        <w:t xml:space="preserve">, nausea, pruritus, </w:t>
      </w:r>
      <w:r w:rsidR="001618B9" w:rsidRPr="00DB6D42">
        <w:rPr>
          <w:rFonts w:cs="Arial"/>
          <w:color w:val="000000"/>
          <w:szCs w:val="22"/>
          <w:lang w:val="en-US"/>
        </w:rPr>
        <w:t>peripheral neuropathy</w:t>
      </w:r>
      <w:r w:rsidR="001618B9" w:rsidRPr="00DB6D42">
        <w:rPr>
          <w:szCs w:val="22"/>
          <w:lang w:val="en-US"/>
        </w:rPr>
        <w:t xml:space="preserve"> </w:t>
      </w:r>
      <w:r w:rsidRPr="00DB6D42">
        <w:rPr>
          <w:szCs w:val="22"/>
          <w:lang w:val="en-US"/>
        </w:rPr>
        <w:t xml:space="preserve">and hypersensitivity with BZN compared with E1224. Patients randomized to HD E1224 had </w:t>
      </w:r>
      <w:r w:rsidR="00702049" w:rsidRPr="00DB6D42">
        <w:rPr>
          <w:szCs w:val="22"/>
          <w:lang w:val="en-US"/>
        </w:rPr>
        <w:t>more frequent</w:t>
      </w:r>
      <w:r w:rsidRPr="00DB6D42">
        <w:rPr>
          <w:szCs w:val="22"/>
          <w:lang w:val="en-US"/>
        </w:rPr>
        <w:t xml:space="preserve"> </w:t>
      </w:r>
      <w:r w:rsidR="00A75D40" w:rsidRPr="00DB6D42">
        <w:rPr>
          <w:rFonts w:cs="Arial"/>
          <w:color w:val="000000"/>
          <w:szCs w:val="22"/>
          <w:lang w:val="en-US"/>
        </w:rPr>
        <w:t>treatment-related</w:t>
      </w:r>
      <w:r w:rsidR="004A1571" w:rsidRPr="00DB6D42">
        <w:rPr>
          <w:rFonts w:cs="Arial"/>
          <w:color w:val="000000"/>
          <w:szCs w:val="22"/>
          <w:lang w:val="en-US"/>
        </w:rPr>
        <w:t xml:space="preserve"> </w:t>
      </w:r>
      <w:r w:rsidRPr="00DB6D42">
        <w:rPr>
          <w:szCs w:val="22"/>
          <w:lang w:val="en-US"/>
        </w:rPr>
        <w:t>hepatic toxicity and diarrhea.</w:t>
      </w:r>
      <w:r w:rsidR="004A1571" w:rsidRPr="00DB6D42">
        <w:rPr>
          <w:szCs w:val="22"/>
          <w:lang w:val="en-US"/>
        </w:rPr>
        <w:t xml:space="preserve"> </w:t>
      </w:r>
      <w:r w:rsidR="00F056CA" w:rsidRPr="00DB6D42">
        <w:rPr>
          <w:rFonts w:cs="Arial"/>
          <w:szCs w:val="21"/>
          <w:lang w:val="en-US"/>
        </w:rPr>
        <w:t xml:space="preserve">No hepatic safety signal was observed with E1224 at lower doses. </w:t>
      </w:r>
      <w:r w:rsidR="00C00997" w:rsidRPr="00DB6D42">
        <w:rPr>
          <w:lang w:val="en-US"/>
        </w:rPr>
        <w:t xml:space="preserve">ECG outcomes appeared comparable across treatment groups, </w:t>
      </w:r>
      <w:r w:rsidR="001618B9" w:rsidRPr="00DB6D42">
        <w:rPr>
          <w:lang w:val="en-US"/>
        </w:rPr>
        <w:t>with</w:t>
      </w:r>
      <w:r w:rsidR="002E6F2D" w:rsidRPr="00DB6D42">
        <w:rPr>
          <w:lang w:val="en-US"/>
        </w:rPr>
        <w:t xml:space="preserve"> no </w:t>
      </w:r>
      <w:r w:rsidR="006C141E" w:rsidRPr="00DB6D42">
        <w:rPr>
          <w:lang w:val="en-US"/>
        </w:rPr>
        <w:t xml:space="preserve">clinically significant </w:t>
      </w:r>
      <w:r w:rsidR="002E6F2D" w:rsidRPr="00DB6D42">
        <w:rPr>
          <w:lang w:val="en-US"/>
        </w:rPr>
        <w:t xml:space="preserve">increases in </w:t>
      </w:r>
      <w:proofErr w:type="spellStart"/>
      <w:r w:rsidR="002E6F2D" w:rsidRPr="00DB6D42">
        <w:rPr>
          <w:lang w:val="en-US"/>
        </w:rPr>
        <w:t>QTcF</w:t>
      </w:r>
      <w:proofErr w:type="spellEnd"/>
      <w:r w:rsidR="002E6F2D" w:rsidRPr="00DB6D42">
        <w:rPr>
          <w:lang w:val="en-US"/>
        </w:rPr>
        <w:t xml:space="preserve"> </w:t>
      </w:r>
      <w:r w:rsidR="008232E5" w:rsidRPr="00DB6D42">
        <w:rPr>
          <w:lang w:val="en-US"/>
        </w:rPr>
        <w:t xml:space="preserve">during </w:t>
      </w:r>
      <w:r w:rsidR="002E6F2D" w:rsidRPr="00DB6D42">
        <w:rPr>
          <w:lang w:val="en-US"/>
        </w:rPr>
        <w:t>treatment</w:t>
      </w:r>
      <w:r w:rsidR="008C6390" w:rsidRPr="00DB6D42">
        <w:rPr>
          <w:lang w:val="en-US"/>
        </w:rPr>
        <w:t>.</w:t>
      </w:r>
    </w:p>
    <w:p w14:paraId="66F939EA" w14:textId="5FDF3CD4" w:rsidR="008379B3" w:rsidRPr="00DB6D42" w:rsidRDefault="008A58C5" w:rsidP="00BB5FF5">
      <w:pPr>
        <w:spacing w:before="80" w:after="80" w:line="360" w:lineRule="auto"/>
        <w:jc w:val="both"/>
        <w:rPr>
          <w:lang w:val="en-US"/>
        </w:rPr>
      </w:pPr>
      <w:r w:rsidRPr="00DB6D42">
        <w:rPr>
          <w:lang w:val="en-US"/>
        </w:rPr>
        <w:t>Results</w:t>
      </w:r>
      <w:r w:rsidR="008D0A5A" w:rsidRPr="00DB6D42">
        <w:rPr>
          <w:lang w:val="en-US"/>
        </w:rPr>
        <w:t xml:space="preserve"> showed that</w:t>
      </w:r>
      <w:r w:rsidR="00B9101C" w:rsidRPr="00DB6D42">
        <w:rPr>
          <w:lang w:val="en-US"/>
        </w:rPr>
        <w:t xml:space="preserve"> </w:t>
      </w:r>
      <w:r w:rsidR="008D0A5A" w:rsidRPr="00DB6D42">
        <w:rPr>
          <w:lang w:val="en-US"/>
        </w:rPr>
        <w:t>t</w:t>
      </w:r>
      <w:r w:rsidR="00805259" w:rsidRPr="00DB6D42">
        <w:rPr>
          <w:lang w:val="en-US"/>
        </w:rPr>
        <w:t xml:space="preserve">he E1224 </w:t>
      </w:r>
      <w:r w:rsidR="00176954" w:rsidRPr="00DB6D42">
        <w:rPr>
          <w:lang w:val="en-US"/>
        </w:rPr>
        <w:t xml:space="preserve">loading </w:t>
      </w:r>
      <w:r w:rsidR="00805259" w:rsidRPr="00DB6D42">
        <w:rPr>
          <w:lang w:val="en-US"/>
        </w:rPr>
        <w:t xml:space="preserve">schedule </w:t>
      </w:r>
      <w:r w:rsidR="008D0A5A" w:rsidRPr="00DB6D42">
        <w:rPr>
          <w:lang w:val="en-US"/>
        </w:rPr>
        <w:t>is</w:t>
      </w:r>
      <w:r w:rsidR="00805259" w:rsidRPr="00DB6D42">
        <w:rPr>
          <w:lang w:val="en-US"/>
        </w:rPr>
        <w:t xml:space="preserve"> appropriate to quickly reach steady state and stable trough </w:t>
      </w:r>
      <w:r w:rsidR="008232E5" w:rsidRPr="00DB6D42">
        <w:rPr>
          <w:lang w:val="en-US"/>
        </w:rPr>
        <w:t xml:space="preserve">RAV </w:t>
      </w:r>
      <w:r w:rsidR="00805259" w:rsidRPr="00DB6D42">
        <w:rPr>
          <w:lang w:val="en-US"/>
        </w:rPr>
        <w:t xml:space="preserve">concentrations. </w:t>
      </w:r>
      <w:r w:rsidR="00854F24" w:rsidRPr="00DB6D42">
        <w:rPr>
          <w:lang w:val="en-US"/>
        </w:rPr>
        <w:t xml:space="preserve">In the range of </w:t>
      </w:r>
      <w:r w:rsidR="008232E5" w:rsidRPr="00DB6D42">
        <w:rPr>
          <w:lang w:val="en-US"/>
        </w:rPr>
        <w:t xml:space="preserve">E1224 </w:t>
      </w:r>
      <w:r w:rsidR="00854F24" w:rsidRPr="00DB6D42">
        <w:rPr>
          <w:lang w:val="en-US"/>
        </w:rPr>
        <w:t xml:space="preserve">doses studied, </w:t>
      </w:r>
      <w:r w:rsidR="008232E5" w:rsidRPr="00DB6D42">
        <w:rPr>
          <w:lang w:val="en-US"/>
        </w:rPr>
        <w:t xml:space="preserve">peak and trough RAV </w:t>
      </w:r>
      <w:r w:rsidR="00805259" w:rsidRPr="00DB6D42">
        <w:rPr>
          <w:lang w:val="en-US"/>
        </w:rPr>
        <w:t xml:space="preserve">concentrations </w:t>
      </w:r>
      <w:r w:rsidR="00AB0530" w:rsidRPr="00DB6D42">
        <w:rPr>
          <w:lang w:val="en-US"/>
        </w:rPr>
        <w:t>were</w:t>
      </w:r>
      <w:r w:rsidR="00805259" w:rsidRPr="00DB6D42">
        <w:rPr>
          <w:lang w:val="en-US"/>
        </w:rPr>
        <w:t xml:space="preserve"> proportional to dose. No evidence of accumulation was observed. BZN </w:t>
      </w:r>
      <w:r w:rsidR="00AC6EEA" w:rsidRPr="00DB6D42">
        <w:rPr>
          <w:lang w:val="en-US"/>
        </w:rPr>
        <w:t xml:space="preserve">PK </w:t>
      </w:r>
      <w:r w:rsidR="00805259" w:rsidRPr="00DB6D42">
        <w:rPr>
          <w:lang w:val="en-US"/>
        </w:rPr>
        <w:t xml:space="preserve">results </w:t>
      </w:r>
      <w:r w:rsidR="007C0393" w:rsidRPr="00DB6D42">
        <w:rPr>
          <w:lang w:val="en-US"/>
        </w:rPr>
        <w:t xml:space="preserve">were </w:t>
      </w:r>
      <w:r w:rsidR="00805259" w:rsidRPr="00DB6D42">
        <w:rPr>
          <w:lang w:val="en-US"/>
        </w:rPr>
        <w:t xml:space="preserve">compatible with previously reported </w:t>
      </w:r>
      <w:r w:rsidR="00AC6EEA" w:rsidRPr="00DB6D42">
        <w:rPr>
          <w:lang w:val="en-US"/>
        </w:rPr>
        <w:t>PK</w:t>
      </w:r>
      <w:r w:rsidR="00805259" w:rsidRPr="00DB6D42">
        <w:rPr>
          <w:lang w:val="en-US"/>
        </w:rPr>
        <w:t xml:space="preserve"> studies</w:t>
      </w:r>
      <w:r w:rsidR="000D31FD" w:rsidRPr="00DB6D42">
        <w:rPr>
          <w:lang w:val="en-US"/>
        </w:rPr>
        <w:t>.</w:t>
      </w:r>
      <w:r w:rsidR="00FB79B6" w:rsidRPr="00DB6D42">
        <w:rPr>
          <w:vertAlign w:val="superscript"/>
          <w:lang w:val="en-US"/>
        </w:rPr>
        <w:t>18</w:t>
      </w:r>
      <w:r w:rsidR="00027D04" w:rsidRPr="00DB6D42">
        <w:rPr>
          <w:vertAlign w:val="superscript"/>
          <w:lang w:val="en-US"/>
        </w:rPr>
        <w:fldChar w:fldCharType="begin" w:fldLock="1"/>
      </w:r>
      <w:r w:rsidR="00974096" w:rsidRPr="00DB6D42">
        <w:rPr>
          <w:vertAlign w:val="superscript"/>
          <w:lang w:val="en-US"/>
        </w:rPr>
        <w:instrText>ADDIN CSL_CITATION { "citationItems" : [ { "id" : "ITEM-1", "itemData" : { "abstract" : "The single-dose pharmacokinetics of N-benzyl-2-nitro-1-imidazole acetamide (benznidazole, Radanil) following administration of 1 tablet Radanil (100 mg) was investigated in six healthy volunteers. The absorption of the drug was fairly rapid. Peak plasma levels of 2.2--2.8 microgram/ml were reached after 3--4 h. The log c versus time curves showed little interindividual variation. The shape of the curves indicates that the drug follows the kinetics of a one-compartment model. The elimination half-lives ranged from 10.5 to 13.6 h, with a mean value of 12 h. The relative bioavailability of the compound (oral tablet versus oral solution) was checked in three of the subjects and found to be 91.7% on an average", "author" : [ { "dropping-particle" : "", "family" : "Raaflaub", "given" : "J", "non-dropping-particle" : "", "parse-names" : false, "suffix" : "" }, { "dropping-particle" : "", "family" : "Ziegler", "given" : "WH", "non-dropping-particle" : "", "parse-names" : false, "suffix" : "" } ], "container-title" : "Arzneimittelforschung", "id" : "ITEM-1", "issue" : "10", "issued" : { "date-parts" : [ [ "1979" ] ] }, "page" : "1611-4.", "title" : "Single-dose pharmacokinetics of the trypanosomicide benznidazole in man", "type" : "article-journal", "volume" : "29" }, "uris" : [ "http://www.mendeley.com/documents/?uuid=d85e14f4-2397-4370-9129-a7005217396e" ] } ], "mendeley" : { "formattedCitation" : "&lt;sup&gt;30&lt;/sup&gt;", "plainTextFormattedCitation" : "30", "previouslyFormattedCitation" : "&lt;sup&gt;30&lt;/sup&gt;" }, "properties" : { "noteIndex" : 0 }, "schema" : "https://github.com/citation-style-language/schema/raw/master/csl-citation.json" }</w:instrText>
      </w:r>
      <w:r w:rsidR="00027D04" w:rsidRPr="00DB6D42">
        <w:rPr>
          <w:vertAlign w:val="superscript"/>
          <w:lang w:val="en-US"/>
        </w:rPr>
        <w:fldChar w:fldCharType="end"/>
      </w:r>
    </w:p>
    <w:p w14:paraId="022FC637" w14:textId="017CA6B0" w:rsidR="005D6E2E" w:rsidRPr="00DB6D42" w:rsidRDefault="00713B79" w:rsidP="00BB5FF5">
      <w:pPr>
        <w:spacing w:before="80" w:after="80" w:line="360" w:lineRule="auto"/>
        <w:jc w:val="both"/>
        <w:rPr>
          <w:lang w:val="en-US"/>
        </w:rPr>
      </w:pPr>
      <w:r w:rsidRPr="00DB6D42">
        <w:rPr>
          <w:lang w:val="en-US"/>
        </w:rPr>
        <w:t>Exploratory evaluations</w:t>
      </w:r>
      <w:r w:rsidR="008379B3" w:rsidRPr="00DB6D42">
        <w:rPr>
          <w:lang w:val="en-US"/>
        </w:rPr>
        <w:t xml:space="preserve"> indicated an exposure-dependent effect of E1224 on the </w:t>
      </w:r>
      <w:r w:rsidR="00513733" w:rsidRPr="00DB6D42">
        <w:rPr>
          <w:lang w:val="en-US"/>
        </w:rPr>
        <w:t>dynamics</w:t>
      </w:r>
      <w:r w:rsidR="008379B3" w:rsidRPr="00DB6D42">
        <w:rPr>
          <w:lang w:val="en-US"/>
        </w:rPr>
        <w:t xml:space="preserve"> of parasite load (</w:t>
      </w:r>
      <w:r w:rsidR="00DE34AA" w:rsidRPr="00DB6D42">
        <w:rPr>
          <w:lang w:val="en-US"/>
        </w:rPr>
        <w:t>F</w:t>
      </w:r>
      <w:r w:rsidR="004F499D" w:rsidRPr="00DB6D42">
        <w:rPr>
          <w:lang w:val="en-US"/>
        </w:rPr>
        <w:t>igure</w:t>
      </w:r>
      <w:r w:rsidR="00BD0C99" w:rsidRPr="00DB6D42">
        <w:rPr>
          <w:lang w:val="en-US"/>
        </w:rPr>
        <w:t xml:space="preserve"> </w:t>
      </w:r>
      <w:r w:rsidR="004F499D" w:rsidRPr="00DB6D42">
        <w:rPr>
          <w:lang w:val="en-US"/>
        </w:rPr>
        <w:t>2</w:t>
      </w:r>
      <w:r w:rsidR="0058346C" w:rsidRPr="00DB6D42">
        <w:rPr>
          <w:lang w:val="en-US"/>
        </w:rPr>
        <w:t>A</w:t>
      </w:r>
      <w:r w:rsidR="008379B3" w:rsidRPr="00DB6D42">
        <w:rPr>
          <w:lang w:val="en-US"/>
        </w:rPr>
        <w:t xml:space="preserve">). </w:t>
      </w:r>
      <w:r w:rsidR="004A1571" w:rsidRPr="00DB6D42">
        <w:rPr>
          <w:lang w:val="en-US"/>
        </w:rPr>
        <w:t>The</w:t>
      </w:r>
      <w:r w:rsidR="005D6E2E" w:rsidRPr="00DB6D42">
        <w:rPr>
          <w:lang w:val="en-US"/>
        </w:rPr>
        <w:t xml:space="preserve"> PK</w:t>
      </w:r>
      <w:r w:rsidR="00C46A2E" w:rsidRPr="00DB6D42">
        <w:rPr>
          <w:lang w:val="en-US"/>
        </w:rPr>
        <w:t>/</w:t>
      </w:r>
      <w:r w:rsidR="005D6E2E" w:rsidRPr="00DB6D42">
        <w:rPr>
          <w:lang w:val="en-US"/>
        </w:rPr>
        <w:t xml:space="preserve">PD </w:t>
      </w:r>
      <w:r w:rsidR="004A1571" w:rsidRPr="00DB6D42">
        <w:rPr>
          <w:lang w:val="en-US"/>
        </w:rPr>
        <w:t>model confirmed</w:t>
      </w:r>
      <w:r w:rsidR="00B95977" w:rsidRPr="00DB6D42">
        <w:rPr>
          <w:lang w:val="en-US"/>
        </w:rPr>
        <w:t xml:space="preserve"> that </w:t>
      </w:r>
      <w:r w:rsidR="004F499D" w:rsidRPr="00DB6D42">
        <w:rPr>
          <w:lang w:val="en-US"/>
        </w:rPr>
        <w:t xml:space="preserve">the </w:t>
      </w:r>
      <w:r w:rsidR="005D6E2E" w:rsidRPr="00DB6D42">
        <w:rPr>
          <w:lang w:val="en-US"/>
        </w:rPr>
        <w:t xml:space="preserve">predicted probability of relapse decreases with E1224 treatment duration and </w:t>
      </w:r>
      <w:r w:rsidR="004A1571" w:rsidRPr="00DB6D42">
        <w:rPr>
          <w:lang w:val="en-US"/>
        </w:rPr>
        <w:t xml:space="preserve">dose. </w:t>
      </w:r>
      <w:r w:rsidRPr="00DB6D42">
        <w:rPr>
          <w:lang w:val="en-US"/>
        </w:rPr>
        <w:t xml:space="preserve">Model-based simulations </w:t>
      </w:r>
      <w:r w:rsidR="005D6E2E" w:rsidRPr="00DB6D42">
        <w:rPr>
          <w:lang w:val="en-US"/>
        </w:rPr>
        <w:t>indicat</w:t>
      </w:r>
      <w:r w:rsidR="00B95977" w:rsidRPr="00DB6D42">
        <w:rPr>
          <w:lang w:val="en-US"/>
        </w:rPr>
        <w:t>e</w:t>
      </w:r>
      <w:r w:rsidRPr="00DB6D42">
        <w:rPr>
          <w:lang w:val="en-US"/>
        </w:rPr>
        <w:t>d</w:t>
      </w:r>
      <w:r w:rsidR="00B95977" w:rsidRPr="00DB6D42">
        <w:rPr>
          <w:lang w:val="en-US"/>
        </w:rPr>
        <w:t xml:space="preserve"> that </w:t>
      </w:r>
      <w:r w:rsidR="005D6E2E" w:rsidRPr="00DB6D42">
        <w:rPr>
          <w:lang w:val="en-US"/>
        </w:rPr>
        <w:t xml:space="preserve">an increase </w:t>
      </w:r>
      <w:r w:rsidR="00B95977" w:rsidRPr="00DB6D42">
        <w:rPr>
          <w:lang w:val="en-US"/>
        </w:rPr>
        <w:t>in</w:t>
      </w:r>
      <w:r w:rsidR="004A1571" w:rsidRPr="00DB6D42">
        <w:rPr>
          <w:lang w:val="en-US"/>
        </w:rPr>
        <w:t xml:space="preserve"> </w:t>
      </w:r>
      <w:r w:rsidR="00E80CB4" w:rsidRPr="00DB6D42">
        <w:rPr>
          <w:lang w:val="en-US"/>
        </w:rPr>
        <w:t xml:space="preserve">E1224 HD </w:t>
      </w:r>
      <w:r w:rsidR="005D6E2E" w:rsidRPr="00DB6D42">
        <w:rPr>
          <w:lang w:val="en-US"/>
        </w:rPr>
        <w:t xml:space="preserve">treatment duration would </w:t>
      </w:r>
      <w:r w:rsidR="009D29A1" w:rsidRPr="00DB6D42">
        <w:rPr>
          <w:lang w:val="en-US"/>
        </w:rPr>
        <w:t>significantly</w:t>
      </w:r>
      <w:r w:rsidR="005D6E2E" w:rsidRPr="00DB6D42">
        <w:rPr>
          <w:lang w:val="en-US"/>
        </w:rPr>
        <w:t xml:space="preserve"> reduce the probability of relapse</w:t>
      </w:r>
      <w:r w:rsidR="00B95977" w:rsidRPr="00DB6D42">
        <w:rPr>
          <w:lang w:val="en-US"/>
        </w:rPr>
        <w:t xml:space="preserve"> from </w:t>
      </w:r>
      <w:r w:rsidRPr="00DB6D42">
        <w:rPr>
          <w:lang w:val="en-US"/>
        </w:rPr>
        <w:t>59</w:t>
      </w:r>
      <w:r w:rsidR="00B95977" w:rsidRPr="00DB6D42">
        <w:rPr>
          <w:lang w:val="en-US"/>
        </w:rPr>
        <w:t xml:space="preserve">% (95% CI, </w:t>
      </w:r>
      <w:r w:rsidRPr="00DB6D42">
        <w:rPr>
          <w:lang w:val="en-US"/>
        </w:rPr>
        <w:t>21%-78%</w:t>
      </w:r>
      <w:r w:rsidR="00B95977" w:rsidRPr="00DB6D42">
        <w:rPr>
          <w:lang w:val="en-US"/>
        </w:rPr>
        <w:t xml:space="preserve">) </w:t>
      </w:r>
      <w:r w:rsidR="00073328" w:rsidRPr="00DB6D42">
        <w:rPr>
          <w:lang w:val="en-US"/>
        </w:rPr>
        <w:t xml:space="preserve">with </w:t>
      </w:r>
      <w:r w:rsidR="00BD0C99" w:rsidRPr="00DB6D42">
        <w:rPr>
          <w:lang w:val="en-US"/>
        </w:rPr>
        <w:t xml:space="preserve">eight </w:t>
      </w:r>
      <w:r w:rsidR="00B95977" w:rsidRPr="00DB6D42">
        <w:rPr>
          <w:lang w:val="en-US"/>
        </w:rPr>
        <w:t>weeks</w:t>
      </w:r>
      <w:r w:rsidR="005D6E2E" w:rsidRPr="00DB6D42">
        <w:rPr>
          <w:lang w:val="en-US"/>
        </w:rPr>
        <w:t xml:space="preserve"> to 44%</w:t>
      </w:r>
      <w:r w:rsidR="00B95977" w:rsidRPr="00DB6D42">
        <w:rPr>
          <w:lang w:val="en-US"/>
        </w:rPr>
        <w:t xml:space="preserve"> (95% CI, </w:t>
      </w:r>
      <w:r w:rsidRPr="00DB6D42">
        <w:rPr>
          <w:lang w:val="en-US"/>
        </w:rPr>
        <w:t xml:space="preserve">4%-84%) </w:t>
      </w:r>
      <w:r w:rsidR="00073328" w:rsidRPr="00DB6D42">
        <w:rPr>
          <w:lang w:val="en-US"/>
        </w:rPr>
        <w:t xml:space="preserve">with </w:t>
      </w:r>
      <w:r w:rsidR="00B95977" w:rsidRPr="00DB6D42">
        <w:rPr>
          <w:lang w:val="en-US"/>
        </w:rPr>
        <w:t>12 weeks</w:t>
      </w:r>
      <w:r w:rsidR="005D6E2E" w:rsidRPr="00DB6D42">
        <w:rPr>
          <w:lang w:val="en-US"/>
        </w:rPr>
        <w:t xml:space="preserve">. </w:t>
      </w:r>
      <w:r w:rsidR="00B95977" w:rsidRPr="00DB6D42">
        <w:rPr>
          <w:lang w:val="en-US"/>
        </w:rPr>
        <w:t xml:space="preserve">Similarly, </w:t>
      </w:r>
      <w:r w:rsidR="000E50F1" w:rsidRPr="00DB6D42">
        <w:rPr>
          <w:lang w:val="en-US"/>
        </w:rPr>
        <w:t xml:space="preserve">model-based </w:t>
      </w:r>
      <w:r w:rsidR="00B95977" w:rsidRPr="00DB6D42">
        <w:rPr>
          <w:lang w:val="en-US"/>
        </w:rPr>
        <w:t>c</w:t>
      </w:r>
      <w:r w:rsidR="00A2545F" w:rsidRPr="00DB6D42">
        <w:rPr>
          <w:lang w:val="en-US"/>
        </w:rPr>
        <w:t xml:space="preserve">alculations </w:t>
      </w:r>
      <w:r w:rsidR="000E50F1" w:rsidRPr="00DB6D42">
        <w:rPr>
          <w:lang w:val="en-US"/>
        </w:rPr>
        <w:lastRenderedPageBreak/>
        <w:t xml:space="preserve">with </w:t>
      </w:r>
      <w:r w:rsidR="005D6E2E" w:rsidRPr="00DB6D42">
        <w:rPr>
          <w:lang w:val="en-US"/>
        </w:rPr>
        <w:t>the maximum observed average concentration</w:t>
      </w:r>
      <w:r w:rsidR="00A2545F" w:rsidRPr="00DB6D42">
        <w:rPr>
          <w:lang w:val="en-US"/>
        </w:rPr>
        <w:t>s</w:t>
      </w:r>
      <w:r w:rsidR="000E50F1" w:rsidRPr="00DB6D42">
        <w:rPr>
          <w:lang w:val="en-US"/>
        </w:rPr>
        <w:t xml:space="preserve"> show that </w:t>
      </w:r>
      <w:r w:rsidR="005D6E2E" w:rsidRPr="00DB6D42">
        <w:rPr>
          <w:lang w:val="en-US"/>
        </w:rPr>
        <w:t xml:space="preserve">if </w:t>
      </w:r>
      <w:r w:rsidR="00B95977" w:rsidRPr="00DB6D42">
        <w:rPr>
          <w:lang w:val="en-US"/>
        </w:rPr>
        <w:t xml:space="preserve">E1224 dose </w:t>
      </w:r>
      <w:r w:rsidR="004F499D" w:rsidRPr="00DB6D42">
        <w:rPr>
          <w:lang w:val="en-US"/>
        </w:rPr>
        <w:t>was</w:t>
      </w:r>
      <w:r w:rsidR="00B95977" w:rsidRPr="00DB6D42">
        <w:rPr>
          <w:lang w:val="en-US"/>
        </w:rPr>
        <w:t xml:space="preserve"> increased </w:t>
      </w:r>
      <w:r w:rsidR="00E357ED" w:rsidRPr="00DB6D42">
        <w:rPr>
          <w:lang w:val="en-US"/>
        </w:rPr>
        <w:t xml:space="preserve">and </w:t>
      </w:r>
      <w:r w:rsidR="00B95977" w:rsidRPr="00DB6D42">
        <w:rPr>
          <w:lang w:val="en-US"/>
        </w:rPr>
        <w:t>treatment duration</w:t>
      </w:r>
      <w:r w:rsidR="00A2545F" w:rsidRPr="00DB6D42">
        <w:rPr>
          <w:lang w:val="en-US"/>
        </w:rPr>
        <w:t xml:space="preserve"> prolonged</w:t>
      </w:r>
      <w:r w:rsidR="00B95977" w:rsidRPr="00DB6D42">
        <w:rPr>
          <w:lang w:val="en-US"/>
        </w:rPr>
        <w:t xml:space="preserve"> to </w:t>
      </w:r>
      <w:r w:rsidR="00B95977" w:rsidRPr="00DB6D42">
        <w:rPr>
          <w:i/>
          <w:lang w:val="en-US"/>
        </w:rPr>
        <w:t>e.g.</w:t>
      </w:r>
      <w:r w:rsidR="00B95977" w:rsidRPr="00DB6D42">
        <w:rPr>
          <w:lang w:val="en-US"/>
        </w:rPr>
        <w:t xml:space="preserve"> 12 weeks</w:t>
      </w:r>
      <w:r w:rsidR="005D6E2E" w:rsidRPr="00DB6D42">
        <w:rPr>
          <w:lang w:val="en-US"/>
        </w:rPr>
        <w:t xml:space="preserve">, the probability of relapse would </w:t>
      </w:r>
      <w:r w:rsidR="00B95977" w:rsidRPr="00DB6D42">
        <w:rPr>
          <w:lang w:val="en-US"/>
        </w:rPr>
        <w:t>fall</w:t>
      </w:r>
      <w:r w:rsidR="005D6E2E" w:rsidRPr="00DB6D42">
        <w:rPr>
          <w:lang w:val="en-US"/>
        </w:rPr>
        <w:t xml:space="preserve"> below 20%</w:t>
      </w:r>
      <w:r w:rsidR="00B95977" w:rsidRPr="00DB6D42">
        <w:rPr>
          <w:lang w:val="en-US"/>
        </w:rPr>
        <w:t xml:space="preserve"> (</w:t>
      </w:r>
      <w:r w:rsidR="005023C6" w:rsidRPr="00DB6D42">
        <w:rPr>
          <w:lang w:val="en-US"/>
        </w:rPr>
        <w:t>F</w:t>
      </w:r>
      <w:r w:rsidR="00B95977" w:rsidRPr="00DB6D42">
        <w:rPr>
          <w:lang w:val="en-US"/>
        </w:rPr>
        <w:t xml:space="preserve">igure </w:t>
      </w:r>
      <w:r w:rsidR="008C6390" w:rsidRPr="00DB6D42">
        <w:rPr>
          <w:lang w:val="en-US"/>
        </w:rPr>
        <w:t>2</w:t>
      </w:r>
      <w:r w:rsidR="00101081">
        <w:rPr>
          <w:lang w:val="en-US"/>
        </w:rPr>
        <w:t>B</w:t>
      </w:r>
      <w:r w:rsidR="00B95977" w:rsidRPr="00DB6D42">
        <w:rPr>
          <w:lang w:val="en-US"/>
        </w:rPr>
        <w:t>)</w:t>
      </w:r>
      <w:r w:rsidR="005D6E2E" w:rsidRPr="00DB6D42">
        <w:rPr>
          <w:lang w:val="en-US"/>
        </w:rPr>
        <w:t>.</w:t>
      </w:r>
    </w:p>
    <w:p w14:paraId="7DD3D749" w14:textId="77777777" w:rsidR="00B32B9F" w:rsidRPr="00DB6D42" w:rsidRDefault="00B32B9F" w:rsidP="00BB5FF5">
      <w:pPr>
        <w:spacing w:before="80" w:after="80" w:line="360" w:lineRule="auto"/>
        <w:jc w:val="both"/>
        <w:rPr>
          <w:lang w:val="en-US"/>
        </w:rPr>
      </w:pPr>
    </w:p>
    <w:p w14:paraId="42F70B46" w14:textId="77777777" w:rsidR="00B32B9F" w:rsidRPr="00DB6D42" w:rsidRDefault="00B32B9F" w:rsidP="00BB5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360" w:lineRule="auto"/>
        <w:jc w:val="both"/>
        <w:rPr>
          <w:rFonts w:cs="Arial"/>
          <w:b/>
          <w:bCs/>
          <w:color w:val="000000"/>
          <w:szCs w:val="29"/>
          <w:lang w:val="en-US"/>
        </w:rPr>
      </w:pPr>
      <w:r w:rsidRPr="00DB6D42">
        <w:rPr>
          <w:rFonts w:cs="Arial"/>
          <w:b/>
          <w:bCs/>
          <w:color w:val="000000"/>
          <w:szCs w:val="29"/>
          <w:lang w:val="en-US"/>
        </w:rPr>
        <w:t>Discussion</w:t>
      </w:r>
    </w:p>
    <w:p w14:paraId="1A7861A9" w14:textId="0154C118" w:rsidR="00FD6923" w:rsidRPr="00DB6D42" w:rsidRDefault="00C44958" w:rsidP="00BB5FF5">
      <w:pPr>
        <w:spacing w:before="80" w:after="80" w:line="360" w:lineRule="auto"/>
        <w:jc w:val="both"/>
        <w:rPr>
          <w:rFonts w:cs="Arial"/>
          <w:szCs w:val="22"/>
          <w:lang w:val="en-US"/>
        </w:rPr>
      </w:pPr>
      <w:r w:rsidRPr="00DB6D42">
        <w:rPr>
          <w:rFonts w:cs="Arial"/>
          <w:szCs w:val="22"/>
          <w:lang w:val="en-US"/>
        </w:rPr>
        <w:t>As the first p</w:t>
      </w:r>
      <w:r w:rsidR="00B32B9F" w:rsidRPr="00DB6D42">
        <w:rPr>
          <w:rFonts w:cs="Arial"/>
          <w:szCs w:val="22"/>
          <w:lang w:val="en-US"/>
        </w:rPr>
        <w:t>hase II clinical trial performed in Bolivia</w:t>
      </w:r>
      <w:r w:rsidRPr="00DB6D42">
        <w:rPr>
          <w:rFonts w:cs="Arial"/>
          <w:szCs w:val="22"/>
          <w:lang w:val="en-US"/>
        </w:rPr>
        <w:t>, th</w:t>
      </w:r>
      <w:r w:rsidR="0027341A" w:rsidRPr="00DB6D42">
        <w:rPr>
          <w:rFonts w:cs="Arial"/>
          <w:szCs w:val="22"/>
          <w:lang w:val="en-US"/>
        </w:rPr>
        <w:t>is</w:t>
      </w:r>
      <w:r w:rsidRPr="00DB6D42">
        <w:rPr>
          <w:rFonts w:cs="Arial"/>
          <w:szCs w:val="22"/>
          <w:lang w:val="en-US"/>
        </w:rPr>
        <w:t xml:space="preserve"> current proof-of-concept study </w:t>
      </w:r>
      <w:r w:rsidR="00F26A4C" w:rsidRPr="00DB6D42">
        <w:rPr>
          <w:rFonts w:cs="Arial"/>
          <w:szCs w:val="22"/>
          <w:lang w:val="en-US"/>
        </w:rPr>
        <w:t xml:space="preserve">generated </w:t>
      </w:r>
      <w:r w:rsidR="00F26A4C" w:rsidRPr="00DB6D42">
        <w:rPr>
          <w:lang w:val="en-US"/>
        </w:rPr>
        <w:t>key human PK/PD data for BZN</w:t>
      </w:r>
      <w:r w:rsidR="00AC03A3" w:rsidRPr="00DB6D42">
        <w:rPr>
          <w:lang w:val="en-US"/>
        </w:rPr>
        <w:t xml:space="preserve">, together with </w:t>
      </w:r>
      <w:r w:rsidR="00F26A4C" w:rsidRPr="00DB6D42">
        <w:rPr>
          <w:lang w:val="en-US"/>
        </w:rPr>
        <w:t xml:space="preserve">the first </w:t>
      </w:r>
      <w:r w:rsidR="00AC03A3" w:rsidRPr="00DB6D42">
        <w:rPr>
          <w:lang w:val="en-US"/>
        </w:rPr>
        <w:t xml:space="preserve">available data </w:t>
      </w:r>
      <w:r w:rsidR="00F26A4C" w:rsidRPr="00DB6D42">
        <w:rPr>
          <w:lang w:val="en-US"/>
        </w:rPr>
        <w:t>for E1224</w:t>
      </w:r>
      <w:r w:rsidR="00027D04" w:rsidRPr="00DB6D42">
        <w:rPr>
          <w:lang w:val="en-US"/>
        </w:rPr>
        <w:t>.</w:t>
      </w:r>
      <w:r w:rsidR="00AC03A3" w:rsidRPr="00DB6D42">
        <w:rPr>
          <w:lang w:val="en-US"/>
        </w:rPr>
        <w:t xml:space="preserve"> </w:t>
      </w:r>
    </w:p>
    <w:p w14:paraId="17475315" w14:textId="02AFCDF4" w:rsidR="00AD0041" w:rsidRPr="00DB6D42" w:rsidRDefault="00AD0041" w:rsidP="00BB5FF5">
      <w:pPr>
        <w:spacing w:before="80" w:after="80" w:line="360" w:lineRule="auto"/>
        <w:jc w:val="both"/>
        <w:rPr>
          <w:rFonts w:cs="Arial"/>
          <w:szCs w:val="21"/>
          <w:lang w:val="en-US"/>
        </w:rPr>
      </w:pPr>
      <w:r w:rsidRPr="00DB6D42">
        <w:rPr>
          <w:lang w:val="en-US"/>
        </w:rPr>
        <w:t xml:space="preserve">Following a long wait for novel </w:t>
      </w:r>
      <w:r w:rsidR="001C7F78" w:rsidRPr="00DB6D42">
        <w:rPr>
          <w:lang w:val="en-US"/>
        </w:rPr>
        <w:t xml:space="preserve">CD </w:t>
      </w:r>
      <w:r w:rsidRPr="00DB6D42">
        <w:rPr>
          <w:lang w:val="en-US"/>
        </w:rPr>
        <w:t xml:space="preserve">drugs, we </w:t>
      </w:r>
      <w:r w:rsidRPr="00DB6D42">
        <w:rPr>
          <w:rFonts w:cs="Arial"/>
          <w:szCs w:val="22"/>
          <w:lang w:val="en-US"/>
        </w:rPr>
        <w:t xml:space="preserve">provide initial evidence that E1224 has manageable toxicity and shows </w:t>
      </w:r>
      <w:r w:rsidR="000E50F1" w:rsidRPr="00DB6D42">
        <w:rPr>
          <w:rFonts w:cs="Arial"/>
          <w:szCs w:val="22"/>
          <w:lang w:val="en-US"/>
        </w:rPr>
        <w:t>anti-</w:t>
      </w:r>
      <w:proofErr w:type="spellStart"/>
      <w:r w:rsidR="000E50F1" w:rsidRPr="00DB6D42">
        <w:rPr>
          <w:rFonts w:cs="Arial"/>
          <w:szCs w:val="22"/>
          <w:lang w:val="en-US"/>
        </w:rPr>
        <w:t>trypanosomal</w:t>
      </w:r>
      <w:proofErr w:type="spellEnd"/>
      <w:r w:rsidR="000E50F1" w:rsidRPr="00DB6D42">
        <w:rPr>
          <w:rFonts w:cs="Arial"/>
          <w:szCs w:val="22"/>
          <w:lang w:val="en-US"/>
        </w:rPr>
        <w:t xml:space="preserve"> activity </w:t>
      </w:r>
      <w:r w:rsidRPr="00DB6D42">
        <w:rPr>
          <w:rFonts w:cs="Arial"/>
          <w:szCs w:val="22"/>
          <w:lang w:val="en-US"/>
        </w:rPr>
        <w:t>during treatment. Disappointingl</w:t>
      </w:r>
      <w:r w:rsidR="00BD7871" w:rsidRPr="00DB6D42">
        <w:rPr>
          <w:rFonts w:cs="Arial"/>
          <w:szCs w:val="22"/>
          <w:lang w:val="en-US"/>
        </w:rPr>
        <w:t>y, but consistent with recently published data on posaconazole</w:t>
      </w:r>
      <w:r w:rsidR="000D31FD" w:rsidRPr="00DB6D42">
        <w:rPr>
          <w:rFonts w:cs="Arial"/>
          <w:szCs w:val="22"/>
          <w:lang w:val="en-US"/>
        </w:rPr>
        <w:t>,</w:t>
      </w:r>
      <w:r w:rsidR="00BD7871" w:rsidRPr="00DB6D42">
        <w:rPr>
          <w:rFonts w:cs="Arial"/>
          <w:szCs w:val="21"/>
          <w:lang w:val="en-US"/>
        </w:rPr>
        <w:fldChar w:fldCharType="begin" w:fldLock="1"/>
      </w:r>
      <w:r w:rsidR="00B647CB" w:rsidRPr="00DB6D42">
        <w:rPr>
          <w:rFonts w:cs="Arial"/>
          <w:szCs w:val="21"/>
          <w:lang w:val="en-US"/>
        </w:rPr>
        <w:instrText>ADDIN CSL_CITATION { "citationItems" : [ { "id" : "ITEM-1", "itemData" : { "DOI" : "10.1056/NEJMoa1313122", "ISSN" : "1533-4406", "PMID" : "24827034", "abstract" : "BACKGROUND: Current therapeutic options for Chagas' disease are limited to benznidazole and nifurtimox, which have been associated with low cure rates in the chronic stage of the disease and which have considerable toxicity. Posaconazole has shown trypanocidal activity in murine models.\n\nMETHODS: We performed a prospective, randomized clinical trial to assess the efficacy and safety of posaconazole as compared with the efficacy and safety of benznidazole in adults with chronic Trypanosoma cruzi infection. We randomly assigned patients to receive posaconazole at a dose of 400 mg twice daily (high-dose posaconazole), posaconazole at a dose of 100 mg twice daily (low-dose posaconazole), or benznidazole at a dose of 150 mg twice daily; all the study drugs were administered for 60 days. We assessed antiparasitic activity by testing for the presence of T. cruzi DNA, using real-time polymerase-chain-reaction (rt-PCR) assays, during the treatment period and 10 months after the end of treatment. Posaconazole absorption was assessed on day 14.\n\nRESULTS: The intention-to-treat population included 78 patients. During the treatment period, all the patients tested negative for T. cruzi DNA on rt-PCR assay beyond day 14, except for 2 patients in the low-dose posaconazole group who tested positive on day 60. During the follow-up period, in the intention-to-treat analysis, 92% of the patients receiving low-dose posaconazole and 81% receiving high-dose posaconazole, as compared with 38% receiving benznidazole, tested positive for T. cruzi DNA on rt-PCR assay (P&lt;0.01 for the comparison of the benznidazole group with either posaconazole group); in the per-protocol analysis, 90% of the patients receiving low-dose posaconazole and 80% of those receiving high-dose posaconazole, as compared with 6% receiving benznidazole, tested positive on rt-PCR assay (P&lt;0.001 for the comparison of the benznidazole group with either posaconazole group). In the benznidazole group, treatment was discontinued in 5 patients because of severe cutaneous reactions; in the posaconazole groups, 4 patients had aminotransferase levels that were more than 3 times the upper limit of the normal range, but there were no discontinuations of treatment.\n\nCONCLUSIONS: Posaconazole showed antitrypanosomal activity in patients with chronic Chagas' disease. However, significantly more patients in the posaconazole groups than in the benznidazole group had treatment failure during follow-up. (Funded by the Ministry\u2026", "author" : [ { "dropping-particle" : "", "family" : "Molina", "given" : "Israel", "non-dropping-particle" : "", "parse-names" : false, "suffix" : "" }, { "dropping-particle" : "", "family" : "G\u00f3mez i Prat", "given" : "Jordi", "non-dropping-particle" : "", "parse-names" : false, "suffix" : "" }, { "dropping-particle" : "", "family" : "Salvador", "given" : "Fernando", "non-dropping-particle" : "", "parse-names" : false, "suffix" : "" }, { "dropping-particle" : "", "family" : "Trevi\u00f1o", "given" : "Bego\u00f1a", "non-dropping-particle" : "", "parse-names" : false, "suffix" : "" }, { "dropping-particle" : "", "family" : "Sulleiro", "given" : "Elena", "non-dropping-particle" : "", "parse-names" : false, "suffix" : "" }, { "dropping-particle" : "", "family" : "Serre", "given" : "N\u00faria", "non-dropping-particle" : "", "parse-names" : false, "suffix" : "" }, { "dropping-particle" : "", "family" : "Pou", "given" : "Diana", "non-dropping-particle" : "", "parse-names" : false, "suffix" : "" }, { "dropping-particle" : "", "family" : "Roure", "given" : "S\u00edlvia", "non-dropping-particle" : "", "parse-names" : false, "suffix" : "" }, { "dropping-particle" : "", "family" : "Cabezos", "given" : "Juan", "non-dropping-particle" : "", "parse-names" : false, "suffix" : "" }, { "dropping-particle" : "", "family" : "Valerio", "given" : "Llu\u00eds", "non-dropping-particle" : "", "parse-names" : false, "suffix" : "" }, { "dropping-particle" : "", "family" : "Blanco-Grau", "given" : "Albert", "non-dropping-particle" : "", "parse-names" : false, "suffix" : "" }, { "dropping-particle" : "", "family" : "S\u00e1nchez-Montalv\u00e1", "given" : "Adri\u00e1n", "non-dropping-particle" : "", "parse-names" : false, "suffix" : "" }, { "dropping-particle" : "", "family" : "Vidal", "given" : "Xavier", "non-dropping-particle" : "", "parse-names" : false, "suffix" : "" }, { "dropping-particle" : "", "family" : "Pahissa", "given" : "Albert", "non-dropping-particle" : "", "parse-names" : false, "suffix" : "" } ], "container-title" : "The New England journal of medicine", "id" : "ITEM-1", "issue" : "20", "issued" : { "date-parts" : [ [ "2014", "5" ] ] }, "page" : "1899-908", "title" : "Randomized trial of posaconazole and benznidazole for chronic Chagas' disease.", "type" : "article-journal", "volume" : "370" }, "uris" : [ "http://www.mendeley.com/documents/?uuid=95918dae-57c1-44e9-bb07-ca5d50ac8ca3", "http://www.mendeley.com/documents/?uuid=ce4708bb-5d77-4363-974b-2027c2913e75" ] } ], "mendeley" : { "formattedCitation" : "&lt;sup&gt;31&lt;/sup&gt;", "manualFormatting" : "221", "plainTextFormattedCitation" : "31", "previouslyFormattedCitation" : "&lt;sup&gt;31&lt;/sup&gt;" }, "properties" : { "noteIndex" : 0 }, "schema" : "https://github.com/citation-style-language/schema/raw/master/csl-citation.json" }</w:instrText>
      </w:r>
      <w:r w:rsidR="00BD7871" w:rsidRPr="00DB6D42">
        <w:rPr>
          <w:rFonts w:cs="Arial"/>
          <w:szCs w:val="21"/>
          <w:lang w:val="en-US"/>
        </w:rPr>
        <w:fldChar w:fldCharType="separate"/>
      </w:r>
      <w:r w:rsidR="00FB79B6" w:rsidRPr="00DB6D42">
        <w:rPr>
          <w:rFonts w:cs="Arial"/>
          <w:noProof/>
          <w:szCs w:val="21"/>
          <w:vertAlign w:val="superscript"/>
          <w:lang w:val="en-US"/>
        </w:rPr>
        <w:t>19</w:t>
      </w:r>
      <w:r w:rsidR="00BD7871" w:rsidRPr="00DB6D42">
        <w:rPr>
          <w:rFonts w:cs="Arial"/>
          <w:szCs w:val="21"/>
          <w:lang w:val="en-US"/>
        </w:rPr>
        <w:fldChar w:fldCharType="end"/>
      </w:r>
      <w:r w:rsidR="008C0430" w:rsidRPr="00DB6D42">
        <w:rPr>
          <w:rFonts w:cs="Arial"/>
          <w:szCs w:val="21"/>
          <w:vertAlign w:val="superscript"/>
          <w:lang w:val="en-US"/>
        </w:rPr>
        <w:t>,2</w:t>
      </w:r>
      <w:r w:rsidR="00FB79B6" w:rsidRPr="00DB6D42">
        <w:rPr>
          <w:rFonts w:cs="Arial"/>
          <w:szCs w:val="21"/>
          <w:vertAlign w:val="superscript"/>
          <w:lang w:val="en-US"/>
        </w:rPr>
        <w:t>0</w:t>
      </w:r>
      <w:r w:rsidR="00BD7871" w:rsidRPr="00DB6D42">
        <w:rPr>
          <w:rFonts w:cs="Arial"/>
          <w:szCs w:val="21"/>
          <w:lang w:val="en-US"/>
        </w:rPr>
        <w:t xml:space="preserve"> </w:t>
      </w:r>
      <w:r w:rsidR="001C7F78" w:rsidRPr="00DB6D42">
        <w:rPr>
          <w:rFonts w:cs="Arial"/>
          <w:szCs w:val="21"/>
          <w:lang w:val="en-US"/>
        </w:rPr>
        <w:t>SR</w:t>
      </w:r>
      <w:r w:rsidRPr="00DB6D42">
        <w:rPr>
          <w:lang w:val="en-US"/>
        </w:rPr>
        <w:t xml:space="preserve"> </w:t>
      </w:r>
      <w:r w:rsidR="008C6390" w:rsidRPr="00DB6D42">
        <w:rPr>
          <w:lang w:val="en-US"/>
        </w:rPr>
        <w:t xml:space="preserve">after 12 months </w:t>
      </w:r>
      <w:r w:rsidR="001B352F" w:rsidRPr="00DB6D42">
        <w:rPr>
          <w:lang w:val="en-US"/>
        </w:rPr>
        <w:t xml:space="preserve">of </w:t>
      </w:r>
      <w:r w:rsidR="008C6390" w:rsidRPr="00DB6D42">
        <w:rPr>
          <w:lang w:val="en-US"/>
        </w:rPr>
        <w:t xml:space="preserve">follow-up </w:t>
      </w:r>
      <w:r w:rsidRPr="00DB6D42">
        <w:rPr>
          <w:lang w:val="en-US"/>
        </w:rPr>
        <w:t xml:space="preserve">was partial/incomplete with </w:t>
      </w:r>
      <w:r w:rsidR="00BD0C99" w:rsidRPr="00DB6D42">
        <w:rPr>
          <w:lang w:val="en-US"/>
        </w:rPr>
        <w:t xml:space="preserve">eight </w:t>
      </w:r>
      <w:r w:rsidRPr="00DB6D42">
        <w:rPr>
          <w:lang w:val="en-US"/>
        </w:rPr>
        <w:t>weeks of treatment</w:t>
      </w:r>
      <w:r w:rsidR="00BD7871" w:rsidRPr="00DB6D42">
        <w:rPr>
          <w:lang w:val="en-US"/>
        </w:rPr>
        <w:t xml:space="preserve">. </w:t>
      </w:r>
      <w:r w:rsidR="00BD7871" w:rsidRPr="00DB6D42">
        <w:rPr>
          <w:rFonts w:cs="Arial"/>
          <w:szCs w:val="22"/>
          <w:lang w:val="en-US"/>
        </w:rPr>
        <w:t>G</w:t>
      </w:r>
      <w:r w:rsidRPr="00DB6D42">
        <w:rPr>
          <w:rFonts w:cs="Arial"/>
          <w:szCs w:val="22"/>
          <w:lang w:val="en-US"/>
        </w:rPr>
        <w:t xml:space="preserve">iven this lack of a prolonged effect, E1224 will not be further investigated as monotherapy. However, because </w:t>
      </w:r>
      <w:r w:rsidR="00B9101C" w:rsidRPr="00DB6D42">
        <w:rPr>
          <w:rFonts w:cs="Arial"/>
          <w:szCs w:val="22"/>
          <w:lang w:val="en-US"/>
        </w:rPr>
        <w:t>o</w:t>
      </w:r>
      <w:r w:rsidRPr="00DB6D42">
        <w:rPr>
          <w:rFonts w:cs="Arial"/>
          <w:szCs w:val="22"/>
          <w:lang w:val="en-US"/>
        </w:rPr>
        <w:t>f</w:t>
      </w:r>
      <w:r w:rsidR="00B9101C" w:rsidRPr="00DB6D42">
        <w:rPr>
          <w:rFonts w:cs="Arial"/>
          <w:szCs w:val="22"/>
          <w:lang w:val="en-US"/>
        </w:rPr>
        <w:t xml:space="preserve"> </w:t>
      </w:r>
      <w:r w:rsidRPr="00DB6D42">
        <w:rPr>
          <w:rFonts w:cs="Arial"/>
          <w:szCs w:val="22"/>
          <w:lang w:val="en-US"/>
        </w:rPr>
        <w:t xml:space="preserve">its favorable safety profile, combinations of E1224 with existing drugs, such as BZN or NFX, should be considered, especially given that animal model studies show </w:t>
      </w:r>
      <w:r w:rsidRPr="00DB6D42">
        <w:rPr>
          <w:lang w:val="en-US"/>
        </w:rPr>
        <w:t xml:space="preserve">combination therapy has the potential to </w:t>
      </w:r>
      <w:r w:rsidR="00B9101C" w:rsidRPr="00DB6D42">
        <w:rPr>
          <w:lang w:val="en-US"/>
        </w:rPr>
        <w:t>improve treatment response</w:t>
      </w:r>
      <w:r w:rsidR="00966E90" w:rsidRPr="00DB6D42">
        <w:rPr>
          <w:lang w:val="en-US"/>
        </w:rPr>
        <w:t xml:space="preserve"> and</w:t>
      </w:r>
      <w:r w:rsidR="00513733" w:rsidRPr="00DB6D42">
        <w:rPr>
          <w:lang w:val="en-US"/>
        </w:rPr>
        <w:t xml:space="preserve"> shorten treatment duration</w:t>
      </w:r>
      <w:r w:rsidRPr="00DB6D42">
        <w:rPr>
          <w:lang w:val="en-US"/>
        </w:rPr>
        <w:t>.</w:t>
      </w:r>
      <w:r w:rsidRPr="00DB6D42">
        <w:rPr>
          <w:lang w:val="en-US"/>
        </w:rPr>
        <w:fldChar w:fldCharType="begin" w:fldLock="1"/>
      </w:r>
      <w:r w:rsidR="0072721B" w:rsidRPr="00DB6D42">
        <w:rPr>
          <w:lang w:val="en-US"/>
        </w:rPr>
        <w:instrText>ADDIN CSL_CITATION { "citationItems" : [ { "id" : "ITEM-1", "itemData" : { "DOI" : "10.1371/journal.pone.0022155", "ISSN" : "1932-6203", "PMID" : "21814568", "abstract" : "Chagas disease caused by Trypanosoma cruzi is an important cause of mortality and morbidity in Latin America but no vaccines or safe chemotherapeutic agents are available. Combined therapy is envisioned as an ideal approach since it may enhance efficacy by acting upon different cellular targets, may reduce toxicity and minimize the risk of drug resistance. Therefore, we investigated the activity of benznidazole (Bz) in combination with the diamidine prodrug DB289 and in combination with the arylimidamide DB766 upon T. cruzi infection in vivo. The oral treatment of T.cruzi-infected mice with DB289 and Benznidazole (Bz) alone reduced the number of circulating parasites compared with untreated mice by about 70% and 90%, respectively. However, the combination of these two compounds decreased the parasitemia by 99% and protected against animal mortality by 100%, but without providing a parasitological cure. When Bz (p.o) was combined with DB766 (via i.p. route), at least a 99.5% decrease in parasitemia levels was observed. DB766+Bz also provided 100% protection against mice mortality while Bz alone provided about 87% protection. This combined therapy also reduced the tissular lesions induced by T. cruzi infection: Bz alone reduced GPT and CK plasma levels by about 12% and 78% compared to untreated mice group, the combination of Bz with DB766 resulted in a reduction of GPT and CK plasma levels of 56% and 91%. Cure assessment through hemocultive and PCR approaches showed that Bz did not provide a parasitological cure, however, DB766 alone or associated with Bz cured \u226513% of surviving animals.", "author" : [ { "dropping-particle" : "", "family" : "Batista", "given" : "Denise Da Gama Ja\u00e9n", "non-dropping-particle" : "", "parse-names" : false, "suffix" : "" }, { "dropping-particle" : "", "family" : "Batista", "given" : "Marcos Meuser", "non-dropping-particle" : "", "parse-names" : false, "suffix" : "" }, { "dropping-particle" : "", "family" : "Oliveira", "given" : "Gabriel Melo", "non-dropping-particle" : "de", "parse-names" : false, "suffix" : "" }, { "dropping-particle" : "", "family" : "Britto", "given" : "Constan\u00e7a Carvalho", "non-dropping-particle" : "", "parse-names" : false, "suffix" : "" }, { "dropping-particle" : "", "family" : "Rodrigues", "given" : "Ana Carolina Mondaine", "non-dropping-particle" : "", "parse-names" : false, "suffix" : "" }, { "dropping-particle" : "", "family" : "Stephens", "given" : "Chad E", "non-dropping-particle" : "", "parse-names" : false, "suffix" : "" }, { "dropping-particle" : "", "family" : "Boykin", "given" : "David W", "non-dropping-particle" : "", "parse-names" : false, "suffix" : "" }, { "dropping-particle" : "", "family" : "Soeiro", "given" : "Maria De Nazar\u00e9 Correia", "non-dropping-particle" : "", "parse-names" : false, "suffix" : "" }, { "dropping-particle" : "", "family" : "Gama Jaen Batista", "given" : "D", "non-dropping-particle" : "Da", "parse-names" : false, "suffix" : "" }, { "dropping-particle" : "", "family" : "Carvalho Britto", "given" : "C", "non-dropping-particle" : "", "parse-names" : false, "suffix" : "" }, { "dropping-particle" : "", "family" : "Mondaine Rodrigues", "given" : "A C", "non-dropping-particle" : "", "parse-names" : false, "suffix" : "" }, { "dropping-particle" : "", "family" : "Nazare", "given" : "M", "non-dropping-particle" : "De", "parse-names" : false, "suffix" : "" }, { "dropping-particle" : "", "family" : "Soeiro", "given" : "C", "non-dropping-particle" : "", "parse-names" : false, "suffix" : "" } ], "container-title" : "PLoS ONE", "id" : "ITEM-1", "issue" : "7", "issued" : { "date-parts" : [ [ "2011", "1" ] ] }, "page" : "e22155", "title" : "Combined Treatment of Heterocyclic Analogues and Benznidazole upon Trypanosoma cruzi In Vivo", "title-short" : "Combined Treatment upon T. cruzi In Vivo", "type" : "article-journal", "volume" : "6" }, "uris" : [ "http://www.mendeley.com/documents/?uuid=37d75006-512f-4d0d-9483-31e511b4330e", "http://www.mendeley.com/documents/?uuid=41ce47ac-a0f0-4c91-8718-34337ebda14a" ] } ], "mendeley" : { "formattedCitation" : "&lt;sup&gt;32&lt;/sup&gt;", "manualFormatting" : "24, 252", "plainTextFormattedCitation" : "32", "previouslyFormattedCitation" : "&lt;sup&gt;32&lt;/sup&gt;" }, "properties" : { "noteIndex" : 0 }, "schema" : "https://github.com/citation-style-language/schema/raw/master/csl-citation.json" }</w:instrText>
      </w:r>
      <w:r w:rsidRPr="00DB6D42">
        <w:rPr>
          <w:lang w:val="en-US"/>
        </w:rPr>
        <w:fldChar w:fldCharType="separate"/>
      </w:r>
      <w:r w:rsidR="00C46D06" w:rsidRPr="00DB6D42">
        <w:rPr>
          <w:noProof/>
          <w:vertAlign w:val="superscript"/>
          <w:lang w:val="en-US"/>
        </w:rPr>
        <w:t>2</w:t>
      </w:r>
      <w:r w:rsidR="00FB79B6" w:rsidRPr="00DB6D42">
        <w:rPr>
          <w:noProof/>
          <w:vertAlign w:val="superscript"/>
          <w:lang w:val="en-US"/>
        </w:rPr>
        <w:t>1</w:t>
      </w:r>
      <w:r w:rsidR="0072721B" w:rsidRPr="00DB6D42">
        <w:rPr>
          <w:noProof/>
          <w:vertAlign w:val="superscript"/>
          <w:lang w:val="en-US"/>
        </w:rPr>
        <w:t>,</w:t>
      </w:r>
      <w:r w:rsidR="00FB79B6" w:rsidRPr="00DB6D42">
        <w:rPr>
          <w:noProof/>
          <w:vertAlign w:val="superscript"/>
          <w:lang w:val="en-US"/>
        </w:rPr>
        <w:t>2</w:t>
      </w:r>
      <w:r w:rsidR="0072721B" w:rsidRPr="00DB6D42">
        <w:rPr>
          <w:noProof/>
          <w:vertAlign w:val="superscript"/>
          <w:lang w:val="en-US"/>
        </w:rPr>
        <w:t>2</w:t>
      </w:r>
      <w:r w:rsidRPr="00DB6D42">
        <w:rPr>
          <w:lang w:val="en-US"/>
        </w:rPr>
        <w:fldChar w:fldCharType="end"/>
      </w:r>
      <w:r w:rsidR="00BD7871" w:rsidRPr="00DB6D42">
        <w:rPr>
          <w:lang w:val="en-US"/>
        </w:rPr>
        <w:t xml:space="preserve"> </w:t>
      </w:r>
      <w:r w:rsidR="00E357ED" w:rsidRPr="00DB6D42">
        <w:rPr>
          <w:lang w:val="en-US"/>
        </w:rPr>
        <w:t>Two spontaneous abortions were documented in the study,</w:t>
      </w:r>
      <w:r w:rsidR="00237C29" w:rsidRPr="00DB6D42">
        <w:rPr>
          <w:lang w:val="en-US"/>
        </w:rPr>
        <w:t xml:space="preserve"> despite contraceptive measures. Such findings represent a known class effect of azole treatments and indicate the</w:t>
      </w:r>
      <w:r w:rsidR="008C0430" w:rsidRPr="00DB6D42">
        <w:rPr>
          <w:lang w:val="en-US"/>
        </w:rPr>
        <w:t xml:space="preserve"> continued</w:t>
      </w:r>
      <w:r w:rsidR="00237C29" w:rsidRPr="00DB6D42">
        <w:rPr>
          <w:lang w:val="en-US"/>
        </w:rPr>
        <w:t xml:space="preserve"> need for </w:t>
      </w:r>
      <w:r w:rsidR="008C0430" w:rsidRPr="00DB6D42">
        <w:rPr>
          <w:lang w:val="en-US"/>
        </w:rPr>
        <w:t xml:space="preserve">highly effective </w:t>
      </w:r>
      <w:r w:rsidR="00237C29" w:rsidRPr="00DB6D42">
        <w:rPr>
          <w:lang w:val="en-US"/>
        </w:rPr>
        <w:t>contracepti</w:t>
      </w:r>
      <w:r w:rsidR="008C0430" w:rsidRPr="00DB6D42">
        <w:rPr>
          <w:lang w:val="en-US"/>
        </w:rPr>
        <w:t>ve methods</w:t>
      </w:r>
      <w:r w:rsidR="00237C29" w:rsidRPr="00DB6D42">
        <w:rPr>
          <w:lang w:val="en-US"/>
        </w:rPr>
        <w:t xml:space="preserve"> during future clinical trials.</w:t>
      </w:r>
    </w:p>
    <w:p w14:paraId="264B196F" w14:textId="3BD13BC7" w:rsidR="007E131E" w:rsidRPr="00DB6D42" w:rsidRDefault="00AD0041" w:rsidP="00BB5FF5">
      <w:pPr>
        <w:spacing w:before="80" w:after="80" w:line="360" w:lineRule="auto"/>
        <w:jc w:val="both"/>
        <w:rPr>
          <w:rFonts w:cs="Arial"/>
          <w:szCs w:val="22"/>
          <w:lang w:val="en-US"/>
        </w:rPr>
      </w:pPr>
      <w:r w:rsidRPr="00DB6D42">
        <w:rPr>
          <w:rFonts w:cs="Arial"/>
          <w:szCs w:val="22"/>
          <w:lang w:val="en-US"/>
        </w:rPr>
        <w:t>In contra</w:t>
      </w:r>
      <w:r w:rsidR="003F64E4" w:rsidRPr="00DB6D42">
        <w:rPr>
          <w:rFonts w:cs="Arial"/>
          <w:szCs w:val="22"/>
          <w:lang w:val="en-US"/>
        </w:rPr>
        <w:t>st</w:t>
      </w:r>
      <w:r w:rsidRPr="00DB6D42">
        <w:rPr>
          <w:rFonts w:cs="Arial"/>
          <w:szCs w:val="22"/>
          <w:lang w:val="en-US"/>
        </w:rPr>
        <w:t xml:space="preserve">, </w:t>
      </w:r>
      <w:r w:rsidR="00A929E6" w:rsidRPr="00DB6D42">
        <w:rPr>
          <w:rFonts w:cs="Arial"/>
          <w:szCs w:val="22"/>
          <w:lang w:val="en-US"/>
        </w:rPr>
        <w:t>BZN</w:t>
      </w:r>
      <w:r w:rsidR="006F2EF3" w:rsidRPr="00DB6D42">
        <w:rPr>
          <w:rFonts w:cs="Arial"/>
          <w:szCs w:val="22"/>
          <w:lang w:val="en-US"/>
        </w:rPr>
        <w:t xml:space="preserve"> </w:t>
      </w:r>
      <w:r w:rsidR="005D3614" w:rsidRPr="00DB6D42">
        <w:rPr>
          <w:rFonts w:cs="Arial"/>
          <w:szCs w:val="22"/>
          <w:lang w:val="en-US"/>
        </w:rPr>
        <w:t>was</w:t>
      </w:r>
      <w:r w:rsidR="00567DD5" w:rsidRPr="00DB6D42">
        <w:rPr>
          <w:rFonts w:cs="Arial"/>
          <w:szCs w:val="22"/>
          <w:lang w:val="en-US"/>
        </w:rPr>
        <w:t xml:space="preserve"> found to have </w:t>
      </w:r>
      <w:r w:rsidR="00242266" w:rsidRPr="00DB6D42">
        <w:rPr>
          <w:rFonts w:cs="Arial"/>
          <w:szCs w:val="22"/>
          <w:lang w:val="en-US"/>
        </w:rPr>
        <w:t xml:space="preserve">a rapid and sustained effect on parasite </w:t>
      </w:r>
      <w:r w:rsidR="00B54F80" w:rsidRPr="00DB6D42">
        <w:rPr>
          <w:rFonts w:cs="Arial"/>
          <w:szCs w:val="22"/>
          <w:lang w:val="en-US"/>
        </w:rPr>
        <w:t xml:space="preserve">DNA </w:t>
      </w:r>
      <w:r w:rsidR="00242266" w:rsidRPr="00DB6D42">
        <w:rPr>
          <w:rFonts w:cs="Arial"/>
          <w:szCs w:val="22"/>
          <w:lang w:val="en-US"/>
        </w:rPr>
        <w:t>clearance</w:t>
      </w:r>
      <w:r w:rsidR="00DA3448" w:rsidRPr="00DB6D42">
        <w:rPr>
          <w:rFonts w:cs="Arial"/>
          <w:szCs w:val="22"/>
          <w:lang w:val="en-US"/>
        </w:rPr>
        <w:t xml:space="preserve"> with </w:t>
      </w:r>
      <w:r w:rsidR="00242266" w:rsidRPr="00DB6D42">
        <w:rPr>
          <w:rFonts w:cs="Arial"/>
          <w:szCs w:val="22"/>
          <w:lang w:val="en-US"/>
        </w:rPr>
        <w:t xml:space="preserve">parasite counts </w:t>
      </w:r>
      <w:r w:rsidR="00530ED3" w:rsidRPr="00DB6D42">
        <w:rPr>
          <w:rFonts w:cs="Arial"/>
          <w:szCs w:val="22"/>
          <w:lang w:val="en-US"/>
        </w:rPr>
        <w:t xml:space="preserve">having </w:t>
      </w:r>
      <w:r w:rsidR="00242266" w:rsidRPr="00DB6D42">
        <w:rPr>
          <w:rFonts w:cs="Arial"/>
          <w:szCs w:val="22"/>
          <w:lang w:val="en-US"/>
        </w:rPr>
        <w:t>dropped significantly after one week of treatment</w:t>
      </w:r>
      <w:r w:rsidR="00DA3448" w:rsidRPr="00DB6D42">
        <w:rPr>
          <w:rFonts w:cs="Arial"/>
          <w:szCs w:val="22"/>
          <w:lang w:val="en-US"/>
        </w:rPr>
        <w:t xml:space="preserve"> and with 81.0% </w:t>
      </w:r>
      <w:r w:rsidR="008C6390" w:rsidRPr="00DB6D42">
        <w:rPr>
          <w:rFonts w:cs="Arial"/>
          <w:szCs w:val="22"/>
          <w:lang w:val="en-US"/>
        </w:rPr>
        <w:t xml:space="preserve">of the patients with </w:t>
      </w:r>
      <w:r w:rsidR="001C7F78" w:rsidRPr="00DB6D42">
        <w:rPr>
          <w:rFonts w:cs="Arial"/>
          <w:szCs w:val="22"/>
          <w:lang w:val="en-US"/>
        </w:rPr>
        <w:t>SR</w:t>
      </w:r>
      <w:r w:rsidR="008C6390" w:rsidRPr="00DB6D42">
        <w:rPr>
          <w:rFonts w:cs="Arial"/>
          <w:szCs w:val="22"/>
          <w:lang w:val="en-US"/>
        </w:rPr>
        <w:t xml:space="preserve"> </w:t>
      </w:r>
      <w:r w:rsidR="00966E90" w:rsidRPr="00DB6D42">
        <w:rPr>
          <w:rFonts w:cs="Arial"/>
          <w:szCs w:val="22"/>
          <w:lang w:val="en-US"/>
        </w:rPr>
        <w:t>until</w:t>
      </w:r>
      <w:r w:rsidR="008C6390" w:rsidRPr="00DB6D42">
        <w:rPr>
          <w:rFonts w:cs="Arial"/>
          <w:szCs w:val="22"/>
          <w:lang w:val="en-US"/>
        </w:rPr>
        <w:t xml:space="preserve"> </w:t>
      </w:r>
      <w:r w:rsidR="00DA3448" w:rsidRPr="00DB6D42">
        <w:rPr>
          <w:rFonts w:cs="Arial"/>
          <w:szCs w:val="22"/>
          <w:lang w:val="en-US"/>
        </w:rPr>
        <w:t xml:space="preserve">12 months. </w:t>
      </w:r>
      <w:r w:rsidR="00B9101C" w:rsidRPr="00DB6D42">
        <w:rPr>
          <w:rFonts w:cs="Arial"/>
          <w:szCs w:val="22"/>
          <w:lang w:val="en-US"/>
        </w:rPr>
        <w:t xml:space="preserve">This </w:t>
      </w:r>
      <w:r w:rsidR="00702049" w:rsidRPr="00DB6D42">
        <w:rPr>
          <w:rFonts w:cs="Arial"/>
          <w:szCs w:val="22"/>
          <w:lang w:val="en-US"/>
        </w:rPr>
        <w:t>study</w:t>
      </w:r>
      <w:r w:rsidR="00B9101C" w:rsidRPr="00DB6D42">
        <w:rPr>
          <w:rFonts w:cs="Arial"/>
          <w:szCs w:val="22"/>
          <w:lang w:val="en-US"/>
        </w:rPr>
        <w:t xml:space="preserve"> provides the first placebo-controlled data on parasite DNA clearance and </w:t>
      </w:r>
      <w:proofErr w:type="spellStart"/>
      <w:r w:rsidR="00353DF2" w:rsidRPr="00DB6D42">
        <w:rPr>
          <w:lang w:val="en-US"/>
        </w:rPr>
        <w:t>trypanolytic</w:t>
      </w:r>
      <w:proofErr w:type="spellEnd"/>
      <w:r w:rsidR="00353DF2" w:rsidRPr="00DB6D42">
        <w:rPr>
          <w:lang w:val="en-US"/>
        </w:rPr>
        <w:t xml:space="preserve"> anti-</w:t>
      </w:r>
      <w:r w:rsidR="00353DF2" w:rsidRPr="00DB6D42">
        <w:rPr>
          <w:rFonts w:cs="Arial"/>
          <w:lang w:val="en-US"/>
        </w:rPr>
        <w:t>α</w:t>
      </w:r>
      <w:r w:rsidR="00353DF2" w:rsidRPr="00DB6D42">
        <w:rPr>
          <w:lang w:val="en-US"/>
        </w:rPr>
        <w:t>-Gal antibodies</w:t>
      </w:r>
      <w:r w:rsidR="00353DF2" w:rsidRPr="00DB6D42">
        <w:rPr>
          <w:rFonts w:cs="Arial"/>
          <w:szCs w:val="22"/>
          <w:lang w:val="en-US"/>
        </w:rPr>
        <w:t xml:space="preserve"> (</w:t>
      </w:r>
      <w:r w:rsidR="00B9101C" w:rsidRPr="00DB6D42">
        <w:rPr>
          <w:rFonts w:cs="Arial"/>
          <w:szCs w:val="22"/>
          <w:lang w:val="en-US"/>
        </w:rPr>
        <w:t>AT</w:t>
      </w:r>
      <w:r w:rsidR="00353DF2" w:rsidRPr="00DB6D42">
        <w:rPr>
          <w:rFonts w:cs="Arial"/>
          <w:szCs w:val="22"/>
          <w:lang w:val="en-US"/>
        </w:rPr>
        <w:t xml:space="preserve"> CL-</w:t>
      </w:r>
      <w:r w:rsidR="00B9101C" w:rsidRPr="00DB6D42">
        <w:rPr>
          <w:rFonts w:cs="Arial"/>
          <w:szCs w:val="22"/>
          <w:lang w:val="en-US"/>
        </w:rPr>
        <w:t>ELISA</w:t>
      </w:r>
      <w:r w:rsidR="00353DF2" w:rsidRPr="00DB6D42">
        <w:rPr>
          <w:rFonts w:cs="Arial"/>
          <w:szCs w:val="22"/>
          <w:lang w:val="en-US"/>
        </w:rPr>
        <w:t>)</w:t>
      </w:r>
      <w:r w:rsidR="00B9101C" w:rsidRPr="00DB6D42">
        <w:rPr>
          <w:rFonts w:cs="Arial"/>
          <w:szCs w:val="22"/>
          <w:lang w:val="en-US"/>
        </w:rPr>
        <w:t xml:space="preserve"> in adult chronic indeterminate </w:t>
      </w:r>
      <w:r w:rsidR="008232E5" w:rsidRPr="00DB6D42">
        <w:rPr>
          <w:rFonts w:cs="Arial"/>
          <w:szCs w:val="22"/>
          <w:lang w:val="en-US"/>
        </w:rPr>
        <w:t>CD</w:t>
      </w:r>
      <w:r w:rsidR="00B9101C" w:rsidRPr="00DB6D42">
        <w:rPr>
          <w:rFonts w:cs="Arial"/>
          <w:szCs w:val="22"/>
          <w:lang w:val="en-US"/>
        </w:rPr>
        <w:t>, with unique evidence on the</w:t>
      </w:r>
      <w:r w:rsidR="008C6390" w:rsidRPr="00DB6D42">
        <w:rPr>
          <w:rFonts w:cs="Arial"/>
          <w:szCs w:val="22"/>
          <w:lang w:val="en-US"/>
        </w:rPr>
        <w:t xml:space="preserve"> </w:t>
      </w:r>
      <w:r w:rsidR="00B9101C" w:rsidRPr="00DB6D42">
        <w:rPr>
          <w:rFonts w:cs="Arial"/>
          <w:szCs w:val="22"/>
          <w:lang w:val="en-US"/>
        </w:rPr>
        <w:t>dynamics of parasite DNA clearance during treatment</w:t>
      </w:r>
      <w:r w:rsidR="00FB5824" w:rsidRPr="00DB6D42">
        <w:rPr>
          <w:rFonts w:cs="Arial"/>
          <w:szCs w:val="22"/>
          <w:lang w:val="en-US"/>
        </w:rPr>
        <w:t xml:space="preserve"> and its correlation with exposure</w:t>
      </w:r>
      <w:r w:rsidR="00B9101C" w:rsidRPr="00DB6D42">
        <w:rPr>
          <w:rFonts w:cs="Arial"/>
          <w:szCs w:val="22"/>
          <w:lang w:val="en-US"/>
        </w:rPr>
        <w:t xml:space="preserve">. </w:t>
      </w:r>
      <w:r w:rsidR="00AF3888" w:rsidRPr="00DB6D42">
        <w:rPr>
          <w:rFonts w:cs="Arial"/>
          <w:szCs w:val="22"/>
          <w:lang w:val="en-US"/>
        </w:rPr>
        <w:t>P</w:t>
      </w:r>
      <w:r w:rsidR="00E84EDE" w:rsidRPr="00DB6D42">
        <w:rPr>
          <w:rFonts w:cs="Arial"/>
          <w:szCs w:val="22"/>
          <w:lang w:val="en-US"/>
        </w:rPr>
        <w:t xml:space="preserve">ost-treatment follow-up in this study </w:t>
      </w:r>
      <w:r w:rsidR="00B905FD" w:rsidRPr="00DB6D42">
        <w:rPr>
          <w:rFonts w:cs="Arial"/>
          <w:szCs w:val="22"/>
          <w:lang w:val="en-US"/>
        </w:rPr>
        <w:t>was limited to 12 months. There has been reports of late parasite relapses post-treatment with BZN in patients with advanced Chagas cardiomyopathy, however, data is limited in chronic indeterminate CD.</w:t>
      </w:r>
      <w:r w:rsidR="0027341A" w:rsidRPr="00DB6D42">
        <w:rPr>
          <w:rFonts w:cs="Arial"/>
          <w:szCs w:val="22"/>
          <w:vertAlign w:val="superscript"/>
          <w:lang w:val="en-US"/>
        </w:rPr>
        <w:t>2</w:t>
      </w:r>
      <w:r w:rsidR="00610C41" w:rsidRPr="00DB6D42">
        <w:rPr>
          <w:rFonts w:cs="Arial"/>
          <w:szCs w:val="22"/>
          <w:vertAlign w:val="superscript"/>
          <w:lang w:val="en-US"/>
        </w:rPr>
        <w:t>3</w:t>
      </w:r>
      <w:r w:rsidR="00B905FD" w:rsidRPr="00DB6D42">
        <w:rPr>
          <w:rFonts w:cs="Arial"/>
          <w:szCs w:val="22"/>
          <w:lang w:val="en-US"/>
        </w:rPr>
        <w:t xml:space="preserve"> </w:t>
      </w:r>
      <w:r w:rsidR="00FB5824" w:rsidRPr="00DB6D42">
        <w:rPr>
          <w:rFonts w:cs="Arial"/>
          <w:szCs w:val="22"/>
          <w:lang w:val="en-US"/>
        </w:rPr>
        <w:t>The pattern of t</w:t>
      </w:r>
      <w:r w:rsidR="005D3614" w:rsidRPr="00DB6D42">
        <w:rPr>
          <w:rFonts w:cs="Arial"/>
          <w:szCs w:val="22"/>
          <w:lang w:val="en-US"/>
        </w:rPr>
        <w:t>reatment</w:t>
      </w:r>
      <w:r w:rsidR="00DA3448" w:rsidRPr="00DB6D42">
        <w:rPr>
          <w:rFonts w:cs="Arial"/>
          <w:szCs w:val="22"/>
          <w:lang w:val="en-US"/>
        </w:rPr>
        <w:t>-</w:t>
      </w:r>
      <w:r w:rsidR="005D3614" w:rsidRPr="00DB6D42">
        <w:rPr>
          <w:rFonts w:cs="Arial"/>
          <w:szCs w:val="22"/>
          <w:lang w:val="en-US"/>
        </w:rPr>
        <w:t>related AEs</w:t>
      </w:r>
      <w:r w:rsidR="006F2EF3" w:rsidRPr="00DB6D42">
        <w:rPr>
          <w:rFonts w:cs="Arial"/>
          <w:szCs w:val="22"/>
          <w:lang w:val="en-US"/>
        </w:rPr>
        <w:t xml:space="preserve"> </w:t>
      </w:r>
      <w:r w:rsidR="00DA3448" w:rsidRPr="00DB6D42">
        <w:rPr>
          <w:rFonts w:cs="Arial"/>
          <w:szCs w:val="22"/>
          <w:lang w:val="en-US"/>
        </w:rPr>
        <w:t xml:space="preserve">were </w:t>
      </w:r>
      <w:r w:rsidR="00567DD5" w:rsidRPr="00DB6D42">
        <w:rPr>
          <w:rFonts w:cs="Arial"/>
          <w:szCs w:val="22"/>
          <w:lang w:val="en-US"/>
        </w:rPr>
        <w:t>similar to those observed in other studies</w:t>
      </w:r>
      <w:r w:rsidR="00084A04" w:rsidRPr="00DB6D42">
        <w:rPr>
          <w:rFonts w:cs="Arial"/>
          <w:szCs w:val="22"/>
          <w:lang w:val="en-US"/>
        </w:rPr>
        <w:t>.</w:t>
      </w:r>
      <w:r w:rsidR="000C4EF7" w:rsidRPr="00DB6D42">
        <w:rPr>
          <w:rFonts w:cs="Arial"/>
          <w:szCs w:val="22"/>
          <w:vertAlign w:val="superscript"/>
          <w:lang w:val="en-US"/>
        </w:rPr>
        <w:t>8</w:t>
      </w:r>
      <w:r w:rsidR="00980780" w:rsidRPr="00DB6D42">
        <w:rPr>
          <w:rFonts w:cs="Arial"/>
          <w:szCs w:val="22"/>
          <w:lang w:val="en-US"/>
        </w:rPr>
        <w:t xml:space="preserve"> </w:t>
      </w:r>
      <w:r w:rsidR="0082074A" w:rsidRPr="00DB6D42">
        <w:rPr>
          <w:rFonts w:cs="Arial"/>
          <w:szCs w:val="21"/>
          <w:lang w:val="en-US"/>
        </w:rPr>
        <w:t>The</w:t>
      </w:r>
      <w:r w:rsidR="00C013D5" w:rsidRPr="00DB6D42">
        <w:rPr>
          <w:rFonts w:cs="Arial"/>
          <w:szCs w:val="21"/>
          <w:lang w:val="en-US"/>
        </w:rPr>
        <w:t>se</w:t>
      </w:r>
      <w:r w:rsidR="0082074A" w:rsidRPr="00DB6D42">
        <w:rPr>
          <w:rFonts w:cs="Arial"/>
          <w:szCs w:val="21"/>
          <w:lang w:val="en-US"/>
        </w:rPr>
        <w:t xml:space="preserve"> results, together with those seen for </w:t>
      </w:r>
      <w:r w:rsidR="00714B66" w:rsidRPr="00DB6D42">
        <w:rPr>
          <w:rFonts w:cs="Arial"/>
          <w:szCs w:val="21"/>
          <w:lang w:val="en-US"/>
        </w:rPr>
        <w:t xml:space="preserve">BZN </w:t>
      </w:r>
      <w:r w:rsidR="0082074A" w:rsidRPr="00DB6D42">
        <w:rPr>
          <w:rFonts w:cs="Arial"/>
          <w:szCs w:val="21"/>
          <w:lang w:val="en-US"/>
        </w:rPr>
        <w:t>in recently published stud</w:t>
      </w:r>
      <w:r w:rsidR="00E84EDE" w:rsidRPr="00DB6D42">
        <w:rPr>
          <w:rFonts w:cs="Arial"/>
          <w:szCs w:val="21"/>
          <w:lang w:val="en-US"/>
        </w:rPr>
        <w:t>ies</w:t>
      </w:r>
      <w:r w:rsidR="0082074A" w:rsidRPr="00DB6D42">
        <w:rPr>
          <w:rFonts w:cs="Arial"/>
          <w:szCs w:val="21"/>
          <w:lang w:val="en-US"/>
        </w:rPr>
        <w:t>,</w:t>
      </w:r>
      <w:r w:rsidR="0027341A" w:rsidRPr="00DB6D42">
        <w:rPr>
          <w:rFonts w:cs="Arial"/>
          <w:szCs w:val="21"/>
          <w:lang w:val="en-US"/>
        </w:rPr>
        <w:fldChar w:fldCharType="begin" w:fldLock="1"/>
      </w:r>
      <w:r w:rsidR="0027341A" w:rsidRPr="00DB6D42">
        <w:rPr>
          <w:rFonts w:cs="Arial"/>
          <w:szCs w:val="21"/>
          <w:lang w:val="en-US"/>
        </w:rPr>
        <w:instrText>ADDIN CSL_CITATION { "citationItems" : [ { "id" : "ITEM-1", "itemData" : { "DOI" : "10.1056/NEJMoa1313122", "ISSN" : "1533-4406", "PMID" : "24827034", "abstract" : "BACKGROUND: Current therapeutic options for Chagas' disease are limited to benznidazole and nifurtimox, which have been associated with low cure rates in the chronic stage of the disease and which have considerable toxicity. Posaconazole has shown trypanocidal activity in murine models.\n\nMETHODS: We performed a prospective, randomized clinical trial to assess the efficacy and safety of posaconazole as compared with the efficacy and safety of benznidazole in adults with chronic Trypanosoma cruzi infection. We randomly assigned patients to receive posaconazole at a dose of 400 mg twice daily (high-dose posaconazole), posaconazole at a dose of 100 mg twice daily (low-dose posaconazole), or benznidazole at a dose of 150 mg twice daily; all the study drugs were administered for 60 days. We assessed antiparasitic activity by testing for the presence of T. cruzi DNA, using real-time polymerase-chain-reaction (rt-PCR) assays, during the treatment period and 10 months after the end of treatment. Posaconazole absorption was assessed on day 14.\n\nRESULTS: The intention-to-treat population included 78 patients. During the treatment period, all the patients tested negative for T. cruzi DNA on rt-PCR assay beyond day 14, except for 2 patients in the low-dose posaconazole group who tested positive on day 60. During the follow-up period, in the intention-to-treat analysis, 92% of the patients receiving low-dose posaconazole and 81% receiving high-dose posaconazole, as compared with 38% receiving benznidazole, tested positive for T. cruzi DNA on rt-PCR assay (P&lt;0.01 for the comparison of the benznidazole group with either posaconazole group); in the per-protocol analysis, 90% of the patients receiving low-dose posaconazole and 80% of those receiving high-dose posaconazole, as compared with 6% receiving benznidazole, tested positive on rt-PCR assay (P&lt;0.001 for the comparison of the benznidazole group with either posaconazole group). In the benznidazole group, treatment was discontinued in 5 patients because of severe cutaneous reactions; in the posaconazole groups, 4 patients had aminotransferase levels that were more than 3 times the upper limit of the normal range, but there were no discontinuations of treatment.\n\nCONCLUSIONS: Posaconazole showed antitrypanosomal activity in patients with chronic Chagas' disease. However, significantly more patients in the posaconazole groups than in the benznidazole group had treatment failure during follow-up. (Funded by the Ministry\u2026", "author" : [ { "dropping-particle" : "", "family" : "Molina", "given" : "Israel", "non-dropping-particle" : "", "parse-names" : false, "suffix" : "" }, { "dropping-particle" : "", "family" : "G\u00f3mez i Prat", "given" : "Jordi", "non-dropping-particle" : "", "parse-names" : false, "suffix" : "" }, { "dropping-particle" : "", "family" : "Salvador", "given" : "Fernando", "non-dropping-particle" : "", "parse-names" : false, "suffix" : "" }, { "dropping-particle" : "", "family" : "Trevi\u00f1o", "given" : "Bego\u00f1a", "non-dropping-particle" : "", "parse-names" : false, "suffix" : "" }, { "dropping-particle" : "", "family" : "Sulleiro", "given" : "Elena", "non-dropping-particle" : "", "parse-names" : false, "suffix" : "" }, { "dropping-particle" : "", "family" : "Serre", "given" : "N\u00faria", "non-dropping-particle" : "", "parse-names" : false, "suffix" : "" }, { "dropping-particle" : "", "family" : "Pou", "given" : "Diana", "non-dropping-particle" : "", "parse-names" : false, "suffix" : "" }, { "dropping-particle" : "", "family" : "Roure", "given" : "S\u00edlvia", "non-dropping-particle" : "", "parse-names" : false, "suffix" : "" }, { "dropping-particle" : "", "family" : "Cabezos", "given" : "Juan", "non-dropping-particle" : "", "parse-names" : false, "suffix" : "" }, { "dropping-particle" : "", "family" : "Valerio", "given" : "Llu\u00eds", "non-dropping-particle" : "", "parse-names" : false, "suffix" : "" }, { "dropping-particle" : "", "family" : "Blanco-Grau", "given" : "Albert", "non-dropping-particle" : "", "parse-names" : false, "suffix" : "" }, { "dropping-particle" : "", "family" : "S\u00e1nchez-Montalv\u00e1", "given" : "Adri\u00e1n", "non-dropping-particle" : "", "parse-names" : false, "suffix" : "" }, { "dropping-particle" : "", "family" : "Vidal", "given" : "Xavier", "non-dropping-particle" : "", "parse-names" : false, "suffix" : "" }, { "dropping-particle" : "", "family" : "Pahissa", "given" : "Albert", "non-dropping-particle" : "", "parse-names" : false, "suffix" : "" } ], "container-title" : "The New England journal of medicine", "id" : "ITEM-1", "issue" : "20", "issued" : { "date-parts" : [ [ "2014", "5" ] ] }, "page" : "1899-908", "title" : "Randomized trial of posaconazole and benznidazole for chronic Chagas' disease.", "type" : "article-journal", "volume" : "370" }, "uris" : [ "http://www.mendeley.com/documents/?uuid=95918dae-57c1-44e9-bb07-ca5d50ac8ca3", "http://www.mendeley.com/documents/?uuid=603aeaa5-1e90-4bd8-ba5e-ba32000f455f" ] } ], "mendeley" : { "formattedCitation" : "&lt;sup&gt;31&lt;/sup&gt;", "manualFormatting" : "2", "plainTextFormattedCitation" : "31", "previouslyFormattedCitation" : "&lt;sup&gt;31&lt;/sup&gt;" }, "properties" : { "noteIndex" : 0 }, "schema" : "https://github.com/citation-style-language/schema/raw/master/csl-citation.json" }</w:instrText>
      </w:r>
      <w:r w:rsidR="0027341A" w:rsidRPr="00DB6D42">
        <w:rPr>
          <w:rFonts w:cs="Arial"/>
          <w:szCs w:val="21"/>
          <w:lang w:val="en-US"/>
        </w:rPr>
        <w:fldChar w:fldCharType="separate"/>
      </w:r>
      <w:r w:rsidR="00610C41" w:rsidRPr="00DB6D42">
        <w:rPr>
          <w:rFonts w:cs="Arial"/>
          <w:noProof/>
          <w:szCs w:val="21"/>
          <w:vertAlign w:val="superscript"/>
          <w:lang w:val="en-US"/>
        </w:rPr>
        <w:t>19</w:t>
      </w:r>
      <w:r w:rsidR="0027341A" w:rsidRPr="00DB6D42">
        <w:rPr>
          <w:rFonts w:cs="Arial"/>
          <w:szCs w:val="21"/>
          <w:lang w:val="en-US"/>
        </w:rPr>
        <w:fldChar w:fldCharType="end"/>
      </w:r>
      <w:r w:rsidR="0027341A" w:rsidRPr="00DB6D42">
        <w:rPr>
          <w:rFonts w:cs="Arial"/>
          <w:szCs w:val="21"/>
          <w:vertAlign w:val="superscript"/>
          <w:lang w:val="en-US"/>
        </w:rPr>
        <w:t>,2</w:t>
      </w:r>
      <w:r w:rsidR="00610C41" w:rsidRPr="00DB6D42">
        <w:rPr>
          <w:rFonts w:cs="Arial"/>
          <w:szCs w:val="21"/>
          <w:vertAlign w:val="superscript"/>
          <w:lang w:val="en-US"/>
        </w:rPr>
        <w:t>0</w:t>
      </w:r>
      <w:r w:rsidR="0082074A" w:rsidRPr="00DB6D42">
        <w:rPr>
          <w:rFonts w:cs="Arial"/>
          <w:szCs w:val="21"/>
          <w:lang w:val="en-US"/>
        </w:rPr>
        <w:t xml:space="preserve"> </w:t>
      </w:r>
      <w:r w:rsidR="00242266" w:rsidRPr="00DB6D42">
        <w:rPr>
          <w:rFonts w:cs="Arial"/>
          <w:szCs w:val="22"/>
          <w:lang w:val="en-US"/>
        </w:rPr>
        <w:t xml:space="preserve">support increased </w:t>
      </w:r>
      <w:r w:rsidR="00DA3448" w:rsidRPr="00DB6D42">
        <w:rPr>
          <w:rFonts w:cs="Arial"/>
          <w:szCs w:val="22"/>
          <w:lang w:val="en-US"/>
        </w:rPr>
        <w:t>use of</w:t>
      </w:r>
      <w:r w:rsidR="00FB5824" w:rsidRPr="00DB6D42">
        <w:rPr>
          <w:rFonts w:cs="Arial"/>
          <w:szCs w:val="22"/>
          <w:lang w:val="en-US"/>
        </w:rPr>
        <w:t xml:space="preserve"> </w:t>
      </w:r>
      <w:r w:rsidR="00DA3448" w:rsidRPr="00DB6D42">
        <w:rPr>
          <w:rFonts w:cs="Arial"/>
          <w:szCs w:val="22"/>
          <w:lang w:val="en-US"/>
        </w:rPr>
        <w:t xml:space="preserve">the </w:t>
      </w:r>
      <w:r w:rsidR="00242266" w:rsidRPr="00DB6D42">
        <w:rPr>
          <w:rFonts w:cs="Arial"/>
          <w:szCs w:val="22"/>
          <w:lang w:val="en-US"/>
        </w:rPr>
        <w:t xml:space="preserve">current treatment, and the evaluation of </w:t>
      </w:r>
      <w:r w:rsidR="000D0B04" w:rsidRPr="00DB6D42">
        <w:rPr>
          <w:rFonts w:cs="Arial"/>
          <w:szCs w:val="22"/>
          <w:lang w:val="en-US"/>
        </w:rPr>
        <w:t xml:space="preserve">alternative regimens of </w:t>
      </w:r>
      <w:r w:rsidR="00242266" w:rsidRPr="00DB6D42">
        <w:rPr>
          <w:rFonts w:cs="Arial"/>
          <w:szCs w:val="22"/>
          <w:lang w:val="en-US"/>
        </w:rPr>
        <w:t>BZN</w:t>
      </w:r>
      <w:r w:rsidR="000D0B04" w:rsidRPr="00DB6D42">
        <w:rPr>
          <w:rFonts w:cs="Arial"/>
          <w:szCs w:val="22"/>
          <w:lang w:val="en-US"/>
        </w:rPr>
        <w:t>, in</w:t>
      </w:r>
      <w:r w:rsidR="00FB5824" w:rsidRPr="00DB6D42">
        <w:rPr>
          <w:rFonts w:cs="Arial"/>
          <w:szCs w:val="22"/>
          <w:lang w:val="en-US"/>
        </w:rPr>
        <w:t xml:space="preserve"> particular </w:t>
      </w:r>
      <w:r w:rsidR="000D0B04" w:rsidRPr="00DB6D42">
        <w:rPr>
          <w:rFonts w:cs="Arial"/>
          <w:szCs w:val="22"/>
          <w:lang w:val="en-US"/>
        </w:rPr>
        <w:t>short-course and combination</w:t>
      </w:r>
      <w:r w:rsidR="00DC64AC" w:rsidRPr="00DB6D42">
        <w:rPr>
          <w:rFonts w:cs="Arial"/>
          <w:szCs w:val="22"/>
          <w:lang w:val="en-US"/>
        </w:rPr>
        <w:t xml:space="preserve"> treatments</w:t>
      </w:r>
      <w:r w:rsidR="00567DD5" w:rsidRPr="00DB6D42">
        <w:rPr>
          <w:rFonts w:cs="Arial"/>
          <w:szCs w:val="22"/>
          <w:lang w:val="en-US"/>
        </w:rPr>
        <w:t>.</w:t>
      </w:r>
      <w:r w:rsidR="00FB5824" w:rsidRPr="00DB6D42">
        <w:rPr>
          <w:rFonts w:cs="Arial"/>
          <w:szCs w:val="22"/>
          <w:lang w:val="en-US"/>
        </w:rPr>
        <w:t xml:space="preserve"> </w:t>
      </w:r>
    </w:p>
    <w:p w14:paraId="2A1B71C5" w14:textId="53F551B0" w:rsidR="00FF24AF" w:rsidRPr="00DB6D42" w:rsidRDefault="00C512DA" w:rsidP="00BB5FF5">
      <w:pPr>
        <w:spacing w:before="80" w:after="80" w:line="360" w:lineRule="auto"/>
        <w:jc w:val="both"/>
        <w:rPr>
          <w:rFonts w:cs="Arial"/>
          <w:szCs w:val="22"/>
          <w:lang w:val="en-US" w:eastAsia="en-US"/>
        </w:rPr>
      </w:pPr>
      <w:r w:rsidRPr="00DB6D42">
        <w:rPr>
          <w:rFonts w:cs="Arial"/>
          <w:color w:val="141413"/>
          <w:szCs w:val="22"/>
          <w:lang w:val="en-US" w:eastAsia="en-US"/>
        </w:rPr>
        <w:t>R</w:t>
      </w:r>
      <w:r w:rsidR="00AE50BD" w:rsidRPr="00DB6D42">
        <w:rPr>
          <w:rFonts w:cs="Arial"/>
          <w:color w:val="141413"/>
          <w:szCs w:val="22"/>
          <w:lang w:val="en-US" w:eastAsia="en-US"/>
        </w:rPr>
        <w:t xml:space="preserve">ecent expert opinion highlighted that </w:t>
      </w:r>
      <w:r w:rsidR="00AE50BD" w:rsidRPr="00DB6D42">
        <w:rPr>
          <w:rFonts w:cs="Arial"/>
          <w:szCs w:val="22"/>
          <w:lang w:val="en-US" w:eastAsia="en-US"/>
        </w:rPr>
        <w:t xml:space="preserve">etiological treatment should be </w:t>
      </w:r>
      <w:r w:rsidR="00E357ED" w:rsidRPr="00DB6D42">
        <w:rPr>
          <w:rFonts w:cs="Arial"/>
          <w:szCs w:val="22"/>
          <w:lang w:val="en-US" w:eastAsia="en-US"/>
        </w:rPr>
        <w:t xml:space="preserve">offered </w:t>
      </w:r>
      <w:r w:rsidR="002E6A02" w:rsidRPr="00DB6D42">
        <w:rPr>
          <w:rFonts w:cs="Arial"/>
          <w:szCs w:val="22"/>
          <w:lang w:val="en-US" w:eastAsia="en-US"/>
        </w:rPr>
        <w:t>in</w:t>
      </w:r>
      <w:r w:rsidR="00AE50BD" w:rsidRPr="00DB6D42">
        <w:rPr>
          <w:rFonts w:cs="Arial"/>
          <w:szCs w:val="22"/>
          <w:lang w:val="en-US" w:eastAsia="en-US"/>
        </w:rPr>
        <w:t xml:space="preserve"> adult chronic </w:t>
      </w:r>
      <w:r w:rsidR="008232E5" w:rsidRPr="00DB6D42">
        <w:rPr>
          <w:rFonts w:cs="Arial"/>
          <w:szCs w:val="22"/>
          <w:lang w:val="en-US" w:eastAsia="en-US"/>
        </w:rPr>
        <w:t>CD</w:t>
      </w:r>
      <w:r w:rsidR="00AE50BD" w:rsidRPr="00DB6D42">
        <w:rPr>
          <w:rFonts w:cs="Arial"/>
          <w:szCs w:val="22"/>
          <w:lang w:val="en-US" w:eastAsia="en-US"/>
        </w:rPr>
        <w:t xml:space="preserve"> patients.</w:t>
      </w:r>
      <w:r w:rsidR="0027341A" w:rsidRPr="00DB6D42">
        <w:rPr>
          <w:rFonts w:cs="Arial"/>
          <w:szCs w:val="22"/>
          <w:lang w:val="en-US"/>
        </w:rPr>
        <w:fldChar w:fldCharType="begin" w:fldLock="1"/>
      </w:r>
      <w:r w:rsidR="0027341A" w:rsidRPr="00DB6D42">
        <w:rPr>
          <w:rFonts w:cs="Arial"/>
          <w:szCs w:val="22"/>
          <w:lang w:val="en-US"/>
        </w:rPr>
        <w:instrText>ADDIN CSL_CITATION { "citationItems" : [ { "id" : "ITEM-1", "itemData" : { "DOI" : "10.1586/14787210.7.2.157", "ISBN" : "1744-8336 (Electronic)", "PMID" : "19254164", "abstract" : "Chagas disease is caused by a parasite, Trypanosoma cruzi, transmitted primarily by a triatomine insect and affects approximately 8 million people in Latin American countries. The principal aim of the management of the disease is to avoid the development of cardiomyopathy and transmission by blood transfusion, congenital and organ transplants. Currently, benznidazole is the only etiological treatment commercially available for the disease until new and better drugs can be developed and tested. Benznidazole has been used even though it does not have all the conditions of an ideal drug. The efficacy and tolerance of benznidazole is inversely related to the age of the patient, while its side effects are more frequent in elderly patients. The side effects are systematically evaluated only in controlled studies designed for that purpose. However, the true clinical impact of the side effects could be different, considering that the treatment is for a short duration (between 30 and 60 days) and only carried out once. In this article, we discuss the benefits and risks of the treatment with benznidazole from a clinical point of view to be considered for the management of the treatment of chronic adult Chagas disease patients in the current medical practice.", "author" : [ { "dropping-particle" : "", "family" : "Viotti", "given" : "R", "non-dropping-particle" : "", "parse-names" : false, "suffix" : "" }, { "dropping-particle" : "", "family" : "Vigliano", "given" : "C", "non-dropping-particle" : "", "parse-names" : false, "suffix" : "" }, { "dropping-particle" : "", "family" : "Lococo", "given" : "B", "non-dropping-particle" : "", "parse-names" : false, "suffix" : "" }, { "dropping-particle" : "", "family" : "Alvarez", "given" : "M G", "non-dropping-particle" : "", "parse-names" : false, "suffix" : "" }, { "dropping-particle" : "", "family" : "Petti", "given" : "M", "non-dropping-particle" : "", "parse-names" : false, "suffix" : "" }, { "dropping-particle" : "", "family" : "Bertocchi", "given" : "G", "non-dropping-particle" : "", "parse-names" : false, "suffix" : "" }, { "dropping-particle" : "", "family" : "Armenti", "given" : "A", "non-dropping-particle" : "", "parse-names" : false, "suffix" : "" } ], "container-title" : "Expert Rev Anti Infect Ther", "edition" : "2009/03/04", "id" : "ITEM-1", "issue" : "2", "issued" : { "date-parts" : [ [ "2009" ] ] }, "language" : "eng", "page" : "157-163", "title" : "Side effects of benznidazole as treatment in chronic Chagas disease: fears and realities", "type" : "article-journal", "volume" : "7" }, "uris" : [ "http://www.mendeley.com/documents/?uuid=9674f011-4d30-43df-bea0-ea6a45c09703", "http://www.mendeley.com/documents/?uuid=c6326b7a-26b0-4630-812b-26e56f6de9df" ] } ], "mendeley" : { "formattedCitation" : "&lt;sup&gt;33&lt;/sup&gt;", "manualFormatting" : "2", "plainTextFormattedCitation" : "33", "previouslyFormattedCitation" : "&lt;sup&gt;33&lt;/sup&gt;" }, "properties" : { "noteIndex" : 0 }, "schema" : "https://github.com/citation-style-language/schema/raw/master/csl-citation.json" }</w:instrText>
      </w:r>
      <w:r w:rsidR="0027341A" w:rsidRPr="00DB6D42">
        <w:rPr>
          <w:rFonts w:cs="Arial"/>
          <w:szCs w:val="22"/>
          <w:lang w:val="en-US"/>
        </w:rPr>
        <w:fldChar w:fldCharType="separate"/>
      </w:r>
      <w:r w:rsidR="0027341A" w:rsidRPr="00DB6D42">
        <w:rPr>
          <w:rFonts w:cs="Arial"/>
          <w:noProof/>
          <w:szCs w:val="22"/>
          <w:vertAlign w:val="superscript"/>
          <w:lang w:val="en-US"/>
        </w:rPr>
        <w:t>2</w:t>
      </w:r>
      <w:r w:rsidR="0027341A" w:rsidRPr="00DB6D42">
        <w:rPr>
          <w:rFonts w:cs="Arial"/>
          <w:szCs w:val="22"/>
          <w:lang w:val="en-US"/>
        </w:rPr>
        <w:fldChar w:fldCharType="end"/>
      </w:r>
      <w:r w:rsidR="00610C41" w:rsidRPr="00DB6D42">
        <w:rPr>
          <w:rFonts w:cs="Arial"/>
          <w:szCs w:val="22"/>
          <w:vertAlign w:val="superscript"/>
          <w:lang w:val="en-US"/>
        </w:rPr>
        <w:t>4</w:t>
      </w:r>
      <w:r w:rsidR="0027341A" w:rsidRPr="00DB6D42">
        <w:rPr>
          <w:rFonts w:cs="Arial"/>
          <w:szCs w:val="22"/>
          <w:vertAlign w:val="superscript"/>
          <w:lang w:val="en-US"/>
        </w:rPr>
        <w:t>, 2</w:t>
      </w:r>
      <w:r w:rsidR="00610C41" w:rsidRPr="00DB6D42">
        <w:rPr>
          <w:rFonts w:cs="Arial"/>
          <w:szCs w:val="22"/>
          <w:vertAlign w:val="superscript"/>
          <w:lang w:val="en-US"/>
        </w:rPr>
        <w:t>5</w:t>
      </w:r>
      <w:r w:rsidR="00D81EC8" w:rsidRPr="00DB6D42">
        <w:rPr>
          <w:rFonts w:cs="Arial"/>
          <w:szCs w:val="22"/>
          <w:lang w:val="en-US" w:eastAsia="en-US"/>
        </w:rPr>
        <w:t xml:space="preserve"> </w:t>
      </w:r>
      <w:r w:rsidR="007E131E" w:rsidRPr="00DB6D42">
        <w:rPr>
          <w:rFonts w:cs="Arial"/>
          <w:szCs w:val="22"/>
          <w:lang w:val="en-US" w:eastAsia="en-US"/>
        </w:rPr>
        <w:t xml:space="preserve">These results should be placed in context of </w:t>
      </w:r>
      <w:r w:rsidR="00D81EC8" w:rsidRPr="00DB6D42">
        <w:rPr>
          <w:rFonts w:cs="Arial"/>
          <w:szCs w:val="22"/>
          <w:lang w:val="en-US" w:eastAsia="en-US"/>
        </w:rPr>
        <w:t>recent placebo-</w:t>
      </w:r>
      <w:r w:rsidR="00D81EC8" w:rsidRPr="00DB6D42">
        <w:rPr>
          <w:rFonts w:cs="Arial"/>
          <w:szCs w:val="22"/>
          <w:lang w:val="en-US" w:eastAsia="en-US"/>
        </w:rPr>
        <w:lastRenderedPageBreak/>
        <w:t xml:space="preserve">controlled </w:t>
      </w:r>
      <w:r w:rsidR="007E131E" w:rsidRPr="00DB6D42">
        <w:rPr>
          <w:rFonts w:cs="Arial"/>
          <w:szCs w:val="22"/>
          <w:lang w:val="en-US" w:eastAsia="en-US"/>
        </w:rPr>
        <w:t xml:space="preserve">trial data </w:t>
      </w:r>
      <w:r w:rsidR="00D81EC8" w:rsidRPr="00DB6D42">
        <w:rPr>
          <w:rFonts w:cs="Arial"/>
          <w:szCs w:val="22"/>
          <w:lang w:val="en-US" w:eastAsia="en-US"/>
        </w:rPr>
        <w:t>show</w:t>
      </w:r>
      <w:r w:rsidR="007E131E" w:rsidRPr="00DB6D42">
        <w:rPr>
          <w:rFonts w:cs="Arial"/>
          <w:szCs w:val="22"/>
          <w:lang w:val="en-US" w:eastAsia="en-US"/>
        </w:rPr>
        <w:t>ing</w:t>
      </w:r>
      <w:r w:rsidR="00D81EC8" w:rsidRPr="00DB6D42">
        <w:rPr>
          <w:rFonts w:cs="Arial"/>
          <w:szCs w:val="22"/>
          <w:lang w:val="en-US" w:eastAsia="en-US"/>
        </w:rPr>
        <w:t xml:space="preserve"> no </w:t>
      </w:r>
      <w:r w:rsidR="007E131E" w:rsidRPr="00DB6D42">
        <w:rPr>
          <w:rFonts w:cs="Arial"/>
          <w:szCs w:val="22"/>
          <w:lang w:val="en-US" w:eastAsia="en-US"/>
        </w:rPr>
        <w:t>clinical</w:t>
      </w:r>
      <w:r w:rsidR="00D81EC8" w:rsidRPr="00DB6D42">
        <w:rPr>
          <w:rFonts w:cs="Arial"/>
          <w:szCs w:val="22"/>
          <w:lang w:val="en-US" w:eastAsia="en-US"/>
        </w:rPr>
        <w:t xml:space="preserve"> </w:t>
      </w:r>
      <w:r w:rsidR="006F625B" w:rsidRPr="00DB6D42">
        <w:rPr>
          <w:rFonts w:cs="Arial"/>
          <w:szCs w:val="22"/>
          <w:lang w:val="en-US" w:eastAsia="en-US"/>
        </w:rPr>
        <w:t xml:space="preserve">effect </w:t>
      </w:r>
      <w:r w:rsidR="00D81EC8" w:rsidRPr="00DB6D42">
        <w:rPr>
          <w:rFonts w:cs="Arial"/>
          <w:szCs w:val="22"/>
          <w:lang w:val="en-US" w:eastAsia="en-US"/>
        </w:rPr>
        <w:t xml:space="preserve">of treatment with BZN in patients with different stages </w:t>
      </w:r>
      <w:r w:rsidR="006F625B" w:rsidRPr="00DB6D42">
        <w:rPr>
          <w:rFonts w:cs="Arial"/>
          <w:szCs w:val="22"/>
          <w:lang w:val="en-US" w:eastAsia="en-US"/>
        </w:rPr>
        <w:t xml:space="preserve">of </w:t>
      </w:r>
      <w:r w:rsidR="00D81EC8" w:rsidRPr="00DB6D42">
        <w:rPr>
          <w:rFonts w:cs="Arial"/>
          <w:szCs w:val="22"/>
          <w:lang w:val="en-US" w:eastAsia="en-US"/>
        </w:rPr>
        <w:t>Chagas cardiomyopathy</w:t>
      </w:r>
      <w:r w:rsidR="00E357ED" w:rsidRPr="00DB6D42">
        <w:rPr>
          <w:rFonts w:cs="Arial"/>
          <w:szCs w:val="22"/>
          <w:vertAlign w:val="superscript"/>
          <w:lang w:val="en-US" w:eastAsia="en-US"/>
        </w:rPr>
        <w:fldChar w:fldCharType="begin" w:fldLock="1"/>
      </w:r>
      <w:r w:rsidR="00781783" w:rsidRPr="00DB6D42">
        <w:rPr>
          <w:rFonts w:cs="Arial"/>
          <w:szCs w:val="22"/>
          <w:vertAlign w:val="superscript"/>
          <w:lang w:val="en-US" w:eastAsia="en-US"/>
        </w:rPr>
        <w:instrText>ADDIN CSL_CITATION { "citationItems" : [ { "id" : "ITEM-1", "itemData" : { "DOI" : "10.1128/AAC.01662-13", "ISSN" : "1098-6596", "PMID" : "24247135", "abstract" : "Treatment for Chagas disease with currently available medications is recommended universally only for acute cases (all ages) and for children up to 14 years old. The World Health Organization, however, also recommends specific antiparasite treatment for all chronic-phase Trypanosoma cruzi-infected individuals, even though in current medical practice this remains controversial, and most physicians only prescribe palliative treatment for adult Chagas patients with dilated cardiomyopathy. The present opinion, prepared by members of the NHEPACHA network (Nuevas Herramientas para el Diagn\u00f3stico y la Evaluaci\u00f3n del Paciente con Enfermedad de Chagas/New Tools for the Diagnosis and Evaluation of Chagas Disease Patients), reviews the paradigm shift based on clinical and immunological evidence and argues in favor of antiparasitic treatment for all chronic patients. We review the tools needed to monitor therapeutic efficacy and the potential criteria for evaluation of treatment efficacy beyond parasitological cure. Etiological treatment should now be mandatory for all adult chronic Chagas disease patients.", "author" : [ { "dropping-particle" : "", "family" : "Viotti", "given" : "R", "non-dropping-particle" : "", "parse-names" : false, "suffix" : "" }, { "dropping-particle" : "", "family" : "Alarc\u00f3n de Noya", "given" : "B", "non-dropping-particle" : "", "parse-names" : false, "suffix" : "" }, { "dropping-particle" : "", "family" : "Araujo-Jorge", "given" : "T", "non-dropping-particle" : "", "parse-names" : false, "suffix" : "" }, { "dropping-particle" : "", "family" : "Grijalva", "given" : "M J", "non-dropping-particle" : "", "parse-names" : false, "suffix" : "" }, { "dropping-particle" : "", "family" : "Guhl", "given" : "F", "non-dropping-particle" : "", "parse-names" : false, "suffix" : "" }, { "dropping-particle" : "", "family" : "L\u00f3pez", "given" : "M C", "non-dropping-particle" : "", "parse-names" : false, "suffix" : "" }, { "dropping-particle" : "", "family" : "Ramsey", "given" : "J M", "non-dropping-particle" : "", "parse-names" : false, "suffix" : "" }, { "dropping-particle" : "", "family" : "Ribeiro", "given" : "I", "non-dropping-particle" : "", "parse-names" : false, "suffix" : "" }, { "dropping-particle" : "", "family" : "Schijman", "given" : "a G", "non-dropping-particle" : "", "parse-names" : false, "suffix" : "" }, { "dropping-particle" : "", "family" : "Sosa-Estani", "given" : "S", "non-dropping-particle" : "", "parse-names" : false, "suffix" : "" }, { "dropping-particle" : "", "family" : "Torrico", "given" : "F", "non-dropping-particle" : "", "parse-names" : false, "suffix" : "" }, { "dropping-particle" : "", "family" : "Gascon", "given" : "J", "non-dropping-particle" : "", "parse-names" : false, "suffix" : "" } ], "container-title" : "Antimicrobial agents and chemotherapy", "id" : "ITEM-1", "issue" : "2", "issued" : { "date-parts" : [ [ "2014", "2" ] ] }, "page" : "635-9", "title" : "Towards a paradigm shift in the treatment of chronic chagas disease.", "type" : "article-journal", "volume" : "58" }, "uris" : [ "http://www.mendeley.com/documents/?uuid=692e27bf-1958-447f-9358-c0966bbc208d", "http://www.mendeley.com/documents/?uuid=113a28ba-28b8-4fe7-92be-ac1d6d37a440" ] } ], "mendeley" : { "formattedCitation" : "&lt;sup&gt;34&lt;/sup&gt;", "manualFormatting" : "2", "plainTextFormattedCitation" : "34", "previouslyFormattedCitation" : "&lt;sup&gt;34&lt;/sup&gt;" }, "properties" : { "noteIndex" : 0 }, "schema" : "https://github.com/citation-style-language/schema/raw/master/csl-citation.json" }</w:instrText>
      </w:r>
      <w:r w:rsidR="00E357ED" w:rsidRPr="00DB6D42">
        <w:rPr>
          <w:rFonts w:cs="Arial"/>
          <w:szCs w:val="22"/>
          <w:vertAlign w:val="superscript"/>
          <w:lang w:val="en-US" w:eastAsia="en-US"/>
        </w:rPr>
        <w:fldChar w:fldCharType="separate"/>
      </w:r>
      <w:r w:rsidR="00E357ED" w:rsidRPr="00DB6D42">
        <w:rPr>
          <w:rFonts w:cs="Arial"/>
          <w:noProof/>
          <w:szCs w:val="22"/>
          <w:vertAlign w:val="superscript"/>
          <w:lang w:val="en-US" w:eastAsia="en-US"/>
        </w:rPr>
        <w:t>2</w:t>
      </w:r>
      <w:r w:rsidR="00E357ED" w:rsidRPr="00DB6D42">
        <w:rPr>
          <w:rFonts w:cs="Arial"/>
          <w:szCs w:val="22"/>
          <w:vertAlign w:val="superscript"/>
          <w:lang w:val="en-US" w:eastAsia="en-US"/>
        </w:rPr>
        <w:fldChar w:fldCharType="end"/>
      </w:r>
      <w:r w:rsidR="00610C41" w:rsidRPr="00DB6D42">
        <w:rPr>
          <w:rFonts w:cs="Arial"/>
          <w:szCs w:val="22"/>
          <w:vertAlign w:val="superscript"/>
          <w:lang w:val="en-US" w:eastAsia="en-US"/>
        </w:rPr>
        <w:t>3</w:t>
      </w:r>
      <w:r w:rsidR="002F28B5" w:rsidRPr="00DB6D42">
        <w:rPr>
          <w:rFonts w:cs="Arial"/>
          <w:szCs w:val="22"/>
          <w:lang w:val="en-US" w:eastAsia="en-US"/>
        </w:rPr>
        <w:t>.</w:t>
      </w:r>
      <w:r w:rsidR="00D81EC8" w:rsidRPr="00DB6D42">
        <w:rPr>
          <w:rFonts w:cs="Arial"/>
          <w:szCs w:val="22"/>
          <w:lang w:val="en-US" w:eastAsia="en-US"/>
        </w:rPr>
        <w:t xml:space="preserve"> Th</w:t>
      </w:r>
      <w:r w:rsidR="006F625B" w:rsidRPr="00DB6D42">
        <w:rPr>
          <w:rFonts w:cs="Arial"/>
          <w:szCs w:val="22"/>
          <w:lang w:val="en-US" w:eastAsia="en-US"/>
        </w:rPr>
        <w:t>is</w:t>
      </w:r>
      <w:r w:rsidR="00D81EC8" w:rsidRPr="00DB6D42">
        <w:rPr>
          <w:rFonts w:cs="Arial"/>
          <w:szCs w:val="22"/>
          <w:lang w:val="en-US" w:eastAsia="en-US"/>
        </w:rPr>
        <w:t xml:space="preserve"> study was not sufficiently powered to show </w:t>
      </w:r>
      <w:r w:rsidR="000A0803" w:rsidRPr="00DB6D42">
        <w:rPr>
          <w:rFonts w:cs="Arial"/>
          <w:szCs w:val="22"/>
          <w:lang w:val="en-US" w:eastAsia="en-US"/>
        </w:rPr>
        <w:t xml:space="preserve">smaller impact (&lt; 20%) </w:t>
      </w:r>
      <w:r w:rsidR="007E131E" w:rsidRPr="00DB6D42">
        <w:rPr>
          <w:rFonts w:cs="Arial"/>
          <w:szCs w:val="22"/>
          <w:lang w:val="en-US" w:eastAsia="en-US"/>
        </w:rPr>
        <w:t>in cardiac outcome, but</w:t>
      </w:r>
      <w:r w:rsidR="00D81EC8" w:rsidRPr="00DB6D42">
        <w:rPr>
          <w:rFonts w:cs="Arial"/>
          <w:szCs w:val="22"/>
          <w:lang w:val="en-US" w:eastAsia="en-US"/>
        </w:rPr>
        <w:t xml:space="preserve"> it is clear that our current strategies for antiparasitic chemotherapy need to be revisited for patients with</w:t>
      </w:r>
      <w:r w:rsidR="007E131E" w:rsidRPr="00DB6D42">
        <w:rPr>
          <w:rFonts w:cs="Arial"/>
          <w:szCs w:val="22"/>
          <w:lang w:val="en-US" w:eastAsia="en-US"/>
        </w:rPr>
        <w:t xml:space="preserve"> </w:t>
      </w:r>
      <w:r w:rsidR="000A0803" w:rsidRPr="00DB6D42">
        <w:rPr>
          <w:rFonts w:cs="Arial"/>
          <w:szCs w:val="22"/>
          <w:lang w:val="en-US" w:eastAsia="en-US"/>
        </w:rPr>
        <w:t>chronic</w:t>
      </w:r>
      <w:r w:rsidR="000A0803" w:rsidRPr="00DB6D42" w:rsidDel="00BE729D">
        <w:rPr>
          <w:rFonts w:cs="Arial"/>
          <w:szCs w:val="22"/>
          <w:lang w:val="en-US" w:eastAsia="en-US"/>
        </w:rPr>
        <w:t xml:space="preserve"> </w:t>
      </w:r>
      <w:r w:rsidR="007E131E" w:rsidRPr="00DB6D42">
        <w:rPr>
          <w:rFonts w:cs="Arial"/>
          <w:szCs w:val="22"/>
          <w:lang w:val="en-US" w:eastAsia="en-US"/>
        </w:rPr>
        <w:t xml:space="preserve">Chagas cardiac </w:t>
      </w:r>
      <w:r w:rsidR="001D1061" w:rsidRPr="00DB6D42">
        <w:rPr>
          <w:rFonts w:cs="Arial"/>
          <w:szCs w:val="22"/>
          <w:lang w:val="en-US" w:eastAsia="en-US"/>
        </w:rPr>
        <w:t>involvement</w:t>
      </w:r>
      <w:r w:rsidR="007E131E" w:rsidRPr="00DB6D42">
        <w:rPr>
          <w:rFonts w:cs="Arial"/>
          <w:szCs w:val="22"/>
          <w:lang w:val="en-US" w:eastAsia="en-US"/>
        </w:rPr>
        <w:t xml:space="preserve">. </w:t>
      </w:r>
      <w:r w:rsidR="00E357ED" w:rsidRPr="00DB6D42">
        <w:rPr>
          <w:rFonts w:cs="Arial"/>
          <w:szCs w:val="22"/>
          <w:lang w:val="en-US" w:eastAsia="en-US"/>
        </w:rPr>
        <w:t>Similarly, there is a need to consider early treatment intervention before established cardiac damage, as in the present trial population consisting largely of young adults.</w:t>
      </w:r>
    </w:p>
    <w:p w14:paraId="79E8601D" w14:textId="50161E1C" w:rsidR="002A4638" w:rsidRPr="00DB6D42" w:rsidRDefault="007E131E" w:rsidP="00BB5FF5">
      <w:pPr>
        <w:spacing w:before="80" w:after="80" w:line="360" w:lineRule="auto"/>
        <w:jc w:val="both"/>
        <w:rPr>
          <w:rFonts w:cs="Arial"/>
          <w:szCs w:val="22"/>
        </w:rPr>
      </w:pPr>
      <w:r w:rsidRPr="00DB6D42">
        <w:rPr>
          <w:rFonts w:cs="Arial"/>
          <w:szCs w:val="22"/>
          <w:lang w:val="en-US" w:eastAsia="en-US"/>
        </w:rPr>
        <w:t xml:space="preserve">At the same time, </w:t>
      </w:r>
      <w:r w:rsidRPr="00DB6D42">
        <w:rPr>
          <w:rFonts w:cs="Arial"/>
          <w:szCs w:val="22"/>
          <w:lang w:val="en-US"/>
        </w:rPr>
        <w:t>d</w:t>
      </w:r>
      <w:r w:rsidR="000C0ECF" w:rsidRPr="00DB6D42">
        <w:rPr>
          <w:rFonts w:cs="Arial"/>
          <w:szCs w:val="22"/>
          <w:lang w:val="en-US"/>
        </w:rPr>
        <w:t>ouble-blinded, placebo-controlled p</w:t>
      </w:r>
      <w:r w:rsidR="008B32C7" w:rsidRPr="00DB6D42">
        <w:rPr>
          <w:rFonts w:cs="Arial"/>
          <w:szCs w:val="22"/>
          <w:lang w:val="en-US"/>
        </w:rPr>
        <w:t>ediatric studies</w:t>
      </w:r>
      <w:r w:rsidR="008A392C" w:rsidRPr="00DB6D42">
        <w:rPr>
          <w:rFonts w:cs="Arial"/>
          <w:szCs w:val="22"/>
          <w:lang w:val="en-US"/>
        </w:rPr>
        <w:t xml:space="preserve"> in early chronic </w:t>
      </w:r>
      <w:r w:rsidR="008A392C" w:rsidRPr="00DB6D42">
        <w:rPr>
          <w:rFonts w:cs="Arial"/>
          <w:i/>
          <w:szCs w:val="22"/>
          <w:lang w:val="en-US"/>
        </w:rPr>
        <w:t xml:space="preserve">T. </w:t>
      </w:r>
      <w:proofErr w:type="spellStart"/>
      <w:r w:rsidR="008A392C" w:rsidRPr="00DB6D42">
        <w:rPr>
          <w:rFonts w:cs="Arial"/>
          <w:i/>
          <w:szCs w:val="22"/>
          <w:lang w:val="en-US"/>
        </w:rPr>
        <w:t>cruzi</w:t>
      </w:r>
      <w:proofErr w:type="spellEnd"/>
      <w:r w:rsidR="008A392C" w:rsidRPr="00DB6D42">
        <w:rPr>
          <w:rFonts w:cs="Arial"/>
          <w:szCs w:val="22"/>
          <w:lang w:val="en-US"/>
        </w:rPr>
        <w:t xml:space="preserve"> infection </w:t>
      </w:r>
      <w:r w:rsidR="00A965FE" w:rsidRPr="00DB6D42">
        <w:rPr>
          <w:rFonts w:cs="Arial"/>
          <w:szCs w:val="22"/>
          <w:lang w:val="en-US"/>
        </w:rPr>
        <w:t xml:space="preserve">showed that a 60-day </w:t>
      </w:r>
      <w:r w:rsidR="00C1473D" w:rsidRPr="00DB6D42">
        <w:rPr>
          <w:rFonts w:cs="Arial"/>
          <w:szCs w:val="22"/>
          <w:lang w:val="en-US"/>
        </w:rPr>
        <w:t xml:space="preserve">BZN </w:t>
      </w:r>
      <w:r w:rsidR="00A965FE" w:rsidRPr="00DB6D42">
        <w:rPr>
          <w:rFonts w:cs="Arial"/>
          <w:szCs w:val="22"/>
          <w:lang w:val="en-US"/>
        </w:rPr>
        <w:t xml:space="preserve">course </w:t>
      </w:r>
      <w:r w:rsidR="00937D85" w:rsidRPr="00DB6D42">
        <w:rPr>
          <w:rFonts w:cs="Arial"/>
          <w:szCs w:val="22"/>
          <w:lang w:val="en-US"/>
        </w:rPr>
        <w:t xml:space="preserve">was safe and effective in producing </w:t>
      </w:r>
      <w:r w:rsidR="0062065E" w:rsidRPr="00DB6D42">
        <w:rPr>
          <w:rFonts w:cs="Arial"/>
          <w:szCs w:val="22"/>
          <w:lang w:val="en-US"/>
        </w:rPr>
        <w:t xml:space="preserve">reduction of titers and </w:t>
      </w:r>
      <w:r w:rsidR="00937D85" w:rsidRPr="00DB6D42">
        <w:rPr>
          <w:rFonts w:cs="Arial"/>
          <w:szCs w:val="22"/>
          <w:lang w:val="en-US"/>
        </w:rPr>
        <w:t>negative serocon</w:t>
      </w:r>
      <w:r w:rsidR="002E6A02" w:rsidRPr="00DB6D42">
        <w:rPr>
          <w:rFonts w:cs="Arial"/>
          <w:szCs w:val="22"/>
          <w:lang w:val="en-US"/>
        </w:rPr>
        <w:t>version of specific antibodies</w:t>
      </w:r>
      <w:r w:rsidR="0062065E" w:rsidRPr="00DB6D42">
        <w:rPr>
          <w:rFonts w:cs="Arial"/>
          <w:szCs w:val="22"/>
          <w:lang w:val="en-US"/>
        </w:rPr>
        <w:t xml:space="preserve"> (including</w:t>
      </w:r>
      <w:r w:rsidR="00FF24AF" w:rsidRPr="00DB6D42">
        <w:rPr>
          <w:rFonts w:cs="Arial"/>
          <w:szCs w:val="22"/>
          <w:lang w:val="en-US"/>
        </w:rPr>
        <w:t xml:space="preserve"> </w:t>
      </w:r>
      <w:proofErr w:type="spellStart"/>
      <w:r w:rsidR="00FF24AF" w:rsidRPr="00DB6D42">
        <w:rPr>
          <w:rFonts w:cs="Arial"/>
          <w:szCs w:val="22"/>
          <w:lang w:val="en-US"/>
        </w:rPr>
        <w:t>trypanolytic</w:t>
      </w:r>
      <w:proofErr w:type="spellEnd"/>
      <w:r w:rsidR="00FF24AF" w:rsidRPr="00DB6D42">
        <w:rPr>
          <w:rFonts w:cs="Arial"/>
          <w:szCs w:val="22"/>
          <w:lang w:val="en-US"/>
        </w:rPr>
        <w:t xml:space="preserve"> anti-α-Gal antibodies</w:t>
      </w:r>
      <w:r w:rsidR="0062065E" w:rsidRPr="00DB6D42">
        <w:rPr>
          <w:rFonts w:cs="Arial"/>
          <w:szCs w:val="22"/>
          <w:lang w:val="en-US"/>
        </w:rPr>
        <w:t>)</w:t>
      </w:r>
      <w:r w:rsidR="002E6A02" w:rsidRPr="00DB6D42">
        <w:rPr>
          <w:rFonts w:cs="Arial"/>
          <w:szCs w:val="22"/>
          <w:lang w:val="en-US"/>
        </w:rPr>
        <w:t xml:space="preserve">, which </w:t>
      </w:r>
      <w:r w:rsidR="00C1473D" w:rsidRPr="00DB6D42">
        <w:rPr>
          <w:rFonts w:cs="Arial"/>
          <w:szCs w:val="22"/>
          <w:lang w:val="en-US"/>
        </w:rPr>
        <w:t xml:space="preserve">had a key impact on treatment policy, based on serology rather than clinical benefit, </w:t>
      </w:r>
      <w:r w:rsidR="00A929E6" w:rsidRPr="00DB6D42">
        <w:rPr>
          <w:rFonts w:cs="Arial"/>
          <w:szCs w:val="22"/>
          <w:lang w:val="en-US"/>
        </w:rPr>
        <w:t xml:space="preserve">and </w:t>
      </w:r>
      <w:r w:rsidR="002E6A02" w:rsidRPr="00DB6D42">
        <w:rPr>
          <w:rFonts w:cs="Arial"/>
          <w:szCs w:val="22"/>
          <w:lang w:val="en-US"/>
        </w:rPr>
        <w:t>justifying</w:t>
      </w:r>
      <w:r w:rsidR="00937D85" w:rsidRPr="00DB6D42">
        <w:rPr>
          <w:rFonts w:cs="Arial"/>
          <w:szCs w:val="22"/>
          <w:lang w:val="en-US"/>
        </w:rPr>
        <w:t xml:space="preserve"> recommendation of treatment </w:t>
      </w:r>
      <w:r w:rsidR="002E6A02" w:rsidRPr="00DB6D42">
        <w:rPr>
          <w:rFonts w:cs="Arial"/>
          <w:szCs w:val="22"/>
          <w:lang w:val="en-US"/>
        </w:rPr>
        <w:t>in seropositive children</w:t>
      </w:r>
      <w:r w:rsidR="00937D85" w:rsidRPr="00DB6D42">
        <w:rPr>
          <w:rFonts w:cs="Arial"/>
          <w:szCs w:val="22"/>
          <w:lang w:val="en-US"/>
        </w:rPr>
        <w:t>.</w:t>
      </w:r>
      <w:r w:rsidR="00E41460" w:rsidRPr="00DB6D42">
        <w:rPr>
          <w:rFonts w:cs="Arial"/>
          <w:szCs w:val="22"/>
          <w:vertAlign w:val="superscript"/>
          <w:lang w:val="en-US"/>
        </w:rPr>
        <w:fldChar w:fldCharType="begin" w:fldLock="1"/>
      </w:r>
      <w:r w:rsidR="00781783" w:rsidRPr="00DB6D42">
        <w:rPr>
          <w:rFonts w:cs="Arial"/>
          <w:szCs w:val="22"/>
          <w:vertAlign w:val="superscript"/>
          <w:lang w:val="en-US"/>
        </w:rPr>
        <w:instrText>ADDIN CSL_CITATION { "citationItems" : [ { "id" : "ITEM-1", "itemData" : { "DOI" : "S0140673696041281 [pii]", "ISBN" : "0140-6736 (Print)", "PMID" : "8937280", "abstract" : "BACKGROUND: Benznidazole, a nitroimidazole derivative, has been recommended for the treatment of acute and congenital Trypanosoma cruzi infection (Chagas' disease). We have examined the safety and efficacy of this drug in the treatment of the early chronic phase of T cruzi infection. METHODS: Between 1991 and 1995, we carried out a randomised, double-blind, placebo-controlled trial in a rural area of Brazil with endemic Chagas' disease. 82% of 2434 schoolchildren (aged 7-12 years) identified in a census were screened for antibodies to T cruzi by indirect immunofluorescence, indirect haemagglutination, and ELISA. 130 were positive in all tests and were randomly assigned benznidazole (7.5 mg/kg daily for 60 days by mouth) or placebo. The primary endpoint for efficacy was the disappearance of specific antibodies (negative seroconversion) by the end of 3-year follow-up. The secondary endpoint was the reduction of antibody titres on repeated serological tests. One child moved away from the area just after randomisation and was excluded from the analyses. Insecticidal measures were taken throughout the trial to reduce the risk of reinfection. FINDINGS: Minor side-effects requiring no specific medication were recorded in a small proportion of individuals. On a chemiluminescent ELISA with purified trypomastigote glycoconjugate, serum from all participants was positive at the beginning of the trial. At the end of follow-up, 37 (58%) of the 64 benznidazole-treated participants and 3 (5%) of those who received placebo were negative for T cruzi antibodies. The efficacy of benznidazole treatment estimated by intention to treat was 55.8% (95% CI 40.8-67.0). At the end of follow-up, children who received benznidazole had five-fold lower geometric mean titres by indirect immunofluorescence than placebo-treated children (196[147-256] vs 1068[809-1408], p &lt; 0.00001). INTERPRETATION: The trial showed that a 60-day course of benznidazole treatment of early chronic T cruzi infection was safe and 55.8% effective in producing negative seroconversion of specific antibodies. The results are very encouraging and justify the recommendation of treatment for seropositive children as public health policy.", "author" : [ { "dropping-particle" : "", "family" : "Andrade", "given" : "A L", "non-dropping-particle" : "de", "parse-names" : false, "suffix" : "" }, { "dropping-particle" : "", "family" : "Zicker", "given" : "F", "non-dropping-particle" : "", "parse-names" : false, "suffix" : "" }, { "dropping-particle" : "", "family" : "Oliveira", "given" : "R M", "non-dropping-particle" : "de", "parse-names" : false, "suffix" : "" }, { "dropping-particle" : "", "family" : "Almeida Silva", "given" : "S", "non-dropping-particle" : "", "parse-names" : false, "suffix" : "" }, { "dropping-particle" : "", "family" : "Luquetti", "given" : "A", "non-dropping-particle" : "", "parse-names" : false, "suffix" : "" }, { "dropping-particle" : "", "family" : "Travassos", "given" : "L R", "non-dropping-particle" : "", "parse-names" : false, "suffix" : "" }, { "dropping-particle" : "", "family" : "Almeida", "given" : "I C", "non-dropping-particle" : "", "parse-names" : false, "suffix" : "" }, { "dropping-particle" : "", "family" : "Andrade", "given" : "S S", "non-dropping-particle" : "de", "parse-names" : false, "suffix" : "" }, { "dropping-particle" : "", "family" : "Andrade", "given" : "J G", "non-dropping-particle" : "de", "parse-names" : false, "suffix" : "" }, { "dropping-particle" : "", "family" : "Martelli", "given" : "C M", "non-dropping-particle" : "", "parse-names" : false, "suffix" : "" } ], "container-title" : "Lancet", "edition" : "1996/11/23", "id" : "ITEM-1", "issue" : "9039", "issued" : { "date-parts" : [ [ "1996" ] ] }, "language" : "eng", "page" : "1407-1413", "title" : "Randomised trial of efficacy of benznidazole in treatment of early Trypanosoma cruzi infection", "type" : "article-journal", "volume" : "348" }, "uris" : [ "http://www.mendeley.com/documents/?uuid=73f2952b-e8ff-4778-aec4-ac7c52a97748", "http://www.mendeley.com/documents/?uuid=2a5041ae-84fd-4354-a455-90addfb43301" ] }, { "id" : "ITEM-2", "itemData" : { "ISBN" : "0002-9637 (Print)", "PMID" : "9790423", "abstract" : "A double-blind, randomized, clinical field trial was designed to test the efficacy and tolerance of a specific drug treatment in children in the indeterminate phase of infection by Trypanosoma cruzi. Children were treated with benznidazole at a dose of 5 mg/kg/day for 60 days or placebo and followed-up for 48 months. The treated children showed a significant decrease in geometric mean titers of antibodies against T. cruzi measured by indirect hemagglutination, indirect immunofluorescence, and ELISA. After a four year follow-up, 62% of the benznidazole-treated children and no placebo-treated child were seronegative for T. cruzi when tested by an ELISA using a T. cruzi flagellar calcium-binding protein (F29). Xenodiagnosis carried out after 48 months of follow-up was positive in 4.7% of the benznidazole-treated children and in 51.2% of the placebo-treated children. These results show the tolerance to and efficacy of benznidazole against T. cruzi in seropositive children six to 12 years of age. We used an early serologic marker of cure after treatment, consisting of a recombinant antigen implemented in a rapid, conventional serologic procedure.", "author" : [ { "dropping-particle" : "", "family" : "Sosa Estani", "given" : "S", "non-dropping-particle" : "", "parse-names" : false, "suffix" : "" }, { "dropping-particle" : "", "family" : "Segura", "given" : "E L", "non-dropping-particle" : "", "parse-names" : false, "suffix" : "" }, { "dropping-particle" : "", "family" : "Ruiz", "given" : "A M", "non-dropping-particle" : "", "parse-names" : false, "suffix" : "" }, { "dropping-particle" : "", "family" : "Velazquez", "given" : "E", "non-dropping-particle" : "", "parse-names" : false, "suffix" : "" }, { "dropping-particle" : "", "family" : "Porcel", "given" : "B M", "non-dropping-particle" : "", "parse-names" : false, "suffix" : "" }, { "dropping-particle" : "", "family" : "Yampotis", "given" : "C", "non-dropping-particle" : "", "parse-names" : false, "suffix" : "" } ], "container-title" : "Am J Trop Med Hyg", "edition" : "1998/10/28", "id" : "ITEM-2", "issue" : "4", "issued" : { "date-parts" : [ [ "1998" ] ] }, "language" : "eng", "page" : "526-529", "title" : "Efficacy of chemotherapy with benznidazole in children in the indeterminate phase of Chagas' disease", "type" : "article-journal", "volume" : "59" }, "uris" : [ "http://www.mendeley.com/documents/?uuid=49eeda3d-8a82-4be3-93d8-2953a1577365", "http://www.mendeley.com/documents/?uuid=9f18b6bc-53e2-48fa-bfbd-3399cb81ed04" ] } ], "mendeley" : { "formattedCitation" : "&lt;sup&gt;35,36&lt;/sup&gt;", "manualFormatting" : "205,26", "plainTextFormattedCitation" : "35,36", "previouslyFormattedCitation" : "&lt;sup&gt;35,36&lt;/sup&gt;" }, "properties" : { "noteIndex" : 0 }, "schema" : "https://github.com/citation-style-language/schema/raw/master/csl-citation.json" }</w:instrText>
      </w:r>
      <w:r w:rsidR="00E41460" w:rsidRPr="00DB6D42">
        <w:rPr>
          <w:rFonts w:cs="Arial"/>
          <w:szCs w:val="22"/>
          <w:vertAlign w:val="superscript"/>
          <w:lang w:val="en-US"/>
        </w:rPr>
        <w:fldChar w:fldCharType="separate"/>
      </w:r>
      <w:r w:rsidR="00C46D06" w:rsidRPr="00DB6D42">
        <w:rPr>
          <w:rFonts w:cs="Arial"/>
          <w:noProof/>
          <w:szCs w:val="22"/>
          <w:vertAlign w:val="superscript"/>
          <w:lang w:val="en-US"/>
        </w:rPr>
        <w:t>2</w:t>
      </w:r>
      <w:r w:rsidR="00610C41" w:rsidRPr="00DB6D42">
        <w:rPr>
          <w:rFonts w:cs="Arial"/>
          <w:noProof/>
          <w:szCs w:val="22"/>
          <w:vertAlign w:val="superscript"/>
          <w:lang w:val="en-US"/>
        </w:rPr>
        <w:t>3</w:t>
      </w:r>
      <w:r w:rsidR="00027D04" w:rsidRPr="00DB6D42">
        <w:rPr>
          <w:rFonts w:cs="Arial"/>
          <w:noProof/>
          <w:szCs w:val="22"/>
          <w:vertAlign w:val="superscript"/>
          <w:lang w:val="en-US"/>
        </w:rPr>
        <w:t>,</w:t>
      </w:r>
      <w:r w:rsidR="00C46D06" w:rsidRPr="00DB6D42">
        <w:rPr>
          <w:rFonts w:cs="Arial"/>
          <w:noProof/>
          <w:szCs w:val="22"/>
          <w:vertAlign w:val="superscript"/>
          <w:lang w:val="en-US"/>
        </w:rPr>
        <w:t>2</w:t>
      </w:r>
      <w:r w:rsidR="00E41460" w:rsidRPr="00DB6D42">
        <w:rPr>
          <w:rFonts w:cs="Arial"/>
          <w:szCs w:val="22"/>
          <w:vertAlign w:val="superscript"/>
          <w:lang w:val="en-US"/>
        </w:rPr>
        <w:fldChar w:fldCharType="end"/>
      </w:r>
      <w:r w:rsidR="00610C41" w:rsidRPr="00DB6D42">
        <w:rPr>
          <w:rFonts w:cs="Arial"/>
          <w:szCs w:val="22"/>
          <w:vertAlign w:val="superscript"/>
          <w:lang w:val="en-US"/>
        </w:rPr>
        <w:t>6</w:t>
      </w:r>
      <w:r w:rsidR="002A4638" w:rsidRPr="00DB6D42">
        <w:rPr>
          <w:rFonts w:cs="Arial"/>
          <w:szCs w:val="22"/>
          <w:lang w:val="en-US"/>
        </w:rPr>
        <w:t xml:space="preserve"> However,</w:t>
      </w:r>
      <w:r w:rsidRPr="00DB6D42">
        <w:rPr>
          <w:rFonts w:cs="Arial"/>
          <w:szCs w:val="22"/>
        </w:rPr>
        <w:t xml:space="preserve"> </w:t>
      </w:r>
      <w:r w:rsidR="003D412B" w:rsidRPr="00DB6D42">
        <w:rPr>
          <w:rFonts w:cs="Arial"/>
          <w:szCs w:val="22"/>
        </w:rPr>
        <w:t>to-date</w:t>
      </w:r>
      <w:r w:rsidR="003741AA" w:rsidRPr="00DB6D42">
        <w:rPr>
          <w:rFonts w:cs="Arial"/>
          <w:szCs w:val="22"/>
        </w:rPr>
        <w:t xml:space="preserve">, </w:t>
      </w:r>
      <w:r w:rsidR="003D412B" w:rsidRPr="00DB6D42">
        <w:rPr>
          <w:rFonts w:cs="Arial"/>
          <w:szCs w:val="22"/>
        </w:rPr>
        <w:t xml:space="preserve">in the short term, </w:t>
      </w:r>
      <w:r w:rsidR="002A4638" w:rsidRPr="00DB6D42">
        <w:rPr>
          <w:rFonts w:cs="Arial"/>
          <w:szCs w:val="22"/>
          <w:lang w:val="en-US"/>
        </w:rPr>
        <w:t xml:space="preserve">no significant changes in conventional serology </w:t>
      </w:r>
      <w:r w:rsidR="00C66281" w:rsidRPr="00DB6D42">
        <w:rPr>
          <w:rFonts w:cs="Arial"/>
          <w:szCs w:val="22"/>
          <w:lang w:val="en-US"/>
        </w:rPr>
        <w:t xml:space="preserve">have been documented </w:t>
      </w:r>
      <w:r w:rsidR="002A4638" w:rsidRPr="00DB6D42">
        <w:rPr>
          <w:rFonts w:cs="Arial"/>
          <w:szCs w:val="22"/>
          <w:lang w:val="en-US"/>
        </w:rPr>
        <w:t>in chronic infected adult</w:t>
      </w:r>
      <w:r w:rsidR="00DC523B" w:rsidRPr="00DB6D42">
        <w:rPr>
          <w:rFonts w:cs="Arial"/>
          <w:szCs w:val="22"/>
          <w:lang w:val="en-US"/>
        </w:rPr>
        <w:t>s.</w:t>
      </w:r>
      <w:r w:rsidR="002A4638" w:rsidRPr="00DB6D42">
        <w:rPr>
          <w:rFonts w:cs="Arial"/>
          <w:szCs w:val="22"/>
          <w:lang w:val="en-US"/>
        </w:rPr>
        <w:t xml:space="preserve"> </w:t>
      </w:r>
      <w:r w:rsidR="0062065E" w:rsidRPr="00DB6D42">
        <w:rPr>
          <w:rFonts w:cs="Arial"/>
          <w:szCs w:val="22"/>
          <w:lang w:val="en-US"/>
        </w:rPr>
        <w:t>Q</w:t>
      </w:r>
      <w:r w:rsidR="002A4638" w:rsidRPr="00DB6D42">
        <w:rPr>
          <w:rFonts w:cs="Arial"/>
          <w:szCs w:val="22"/>
          <w:lang w:val="en-US"/>
        </w:rPr>
        <w:t xml:space="preserve">uite </w:t>
      </w:r>
      <w:r w:rsidRPr="00DB6D42">
        <w:rPr>
          <w:rFonts w:cs="Arial"/>
          <w:szCs w:val="22"/>
          <w:lang w:val="en-US"/>
        </w:rPr>
        <w:t>importantly</w:t>
      </w:r>
      <w:r w:rsidR="002A4638" w:rsidRPr="00DB6D42">
        <w:rPr>
          <w:rFonts w:cs="Arial"/>
          <w:szCs w:val="22"/>
          <w:lang w:val="en-US"/>
        </w:rPr>
        <w:t>, th</w:t>
      </w:r>
      <w:r w:rsidRPr="00DB6D42">
        <w:rPr>
          <w:rFonts w:cs="Arial"/>
          <w:szCs w:val="22"/>
          <w:lang w:val="en-US"/>
        </w:rPr>
        <w:t>e present</w:t>
      </w:r>
      <w:r w:rsidR="002A4638" w:rsidRPr="00DB6D42">
        <w:rPr>
          <w:rFonts w:cs="Arial"/>
          <w:szCs w:val="22"/>
          <w:lang w:val="en-US"/>
        </w:rPr>
        <w:t xml:space="preserve"> study</w:t>
      </w:r>
      <w:r w:rsidR="00BE729D" w:rsidRPr="00DB6D42">
        <w:rPr>
          <w:rFonts w:cs="Arial"/>
          <w:szCs w:val="22"/>
          <w:lang w:val="en-US"/>
        </w:rPr>
        <w:t xml:space="preserve"> </w:t>
      </w:r>
      <w:r w:rsidR="001D1061" w:rsidRPr="00DB6D42">
        <w:rPr>
          <w:rFonts w:cs="Arial"/>
          <w:szCs w:val="22"/>
          <w:lang w:val="en-US"/>
        </w:rPr>
        <w:t xml:space="preserve">in </w:t>
      </w:r>
      <w:r w:rsidR="00BE729D" w:rsidRPr="00DB6D42">
        <w:rPr>
          <w:rFonts w:cs="Arial"/>
          <w:szCs w:val="22"/>
          <w:lang w:val="en-US"/>
        </w:rPr>
        <w:t xml:space="preserve">asymptomatic patients </w:t>
      </w:r>
      <w:r w:rsidR="001D1061" w:rsidRPr="00DB6D42">
        <w:rPr>
          <w:rFonts w:cs="Arial"/>
          <w:szCs w:val="22"/>
          <w:lang w:val="en-US"/>
        </w:rPr>
        <w:t>with</w:t>
      </w:r>
      <w:r w:rsidR="0006024E" w:rsidRPr="00DB6D42">
        <w:rPr>
          <w:rFonts w:cs="Arial"/>
          <w:szCs w:val="22"/>
          <w:lang w:val="en-US"/>
        </w:rPr>
        <w:t xml:space="preserve"> </w:t>
      </w:r>
      <w:r w:rsidR="00BE729D" w:rsidRPr="00DB6D42">
        <w:rPr>
          <w:rFonts w:cs="Arial"/>
          <w:szCs w:val="22"/>
          <w:lang w:val="en-US"/>
        </w:rPr>
        <w:t xml:space="preserve">indeterminate </w:t>
      </w:r>
      <w:r w:rsidR="001D1061" w:rsidRPr="00DB6D42">
        <w:rPr>
          <w:rFonts w:cs="Arial"/>
          <w:szCs w:val="22"/>
          <w:lang w:val="en-US"/>
        </w:rPr>
        <w:t xml:space="preserve">CD </w:t>
      </w:r>
      <w:r w:rsidR="002A4638" w:rsidRPr="00DB6D42">
        <w:rPr>
          <w:rFonts w:cs="Arial"/>
          <w:szCs w:val="22"/>
          <w:lang w:val="en-US"/>
        </w:rPr>
        <w:t xml:space="preserve">provides placebo-controlled data showing an </w:t>
      </w:r>
      <w:r w:rsidR="00897C0A" w:rsidRPr="00DB6D42">
        <w:rPr>
          <w:rFonts w:cs="Arial"/>
          <w:szCs w:val="22"/>
          <w:lang w:val="en-US"/>
        </w:rPr>
        <w:t xml:space="preserve">effect </w:t>
      </w:r>
      <w:r w:rsidR="002A4638" w:rsidRPr="00DB6D42">
        <w:rPr>
          <w:rFonts w:cs="Arial"/>
          <w:szCs w:val="22"/>
          <w:lang w:val="en-US"/>
        </w:rPr>
        <w:t xml:space="preserve">of treatment with BZN on </w:t>
      </w:r>
      <w:proofErr w:type="spellStart"/>
      <w:r w:rsidR="00985E62" w:rsidRPr="00DB6D42">
        <w:rPr>
          <w:lang w:val="en-US"/>
        </w:rPr>
        <w:t>trypanolytic</w:t>
      </w:r>
      <w:proofErr w:type="spellEnd"/>
      <w:r w:rsidR="00985E62" w:rsidRPr="00DB6D42">
        <w:rPr>
          <w:lang w:val="en-US"/>
        </w:rPr>
        <w:t xml:space="preserve"> anti-</w:t>
      </w:r>
      <w:r w:rsidR="00985E62" w:rsidRPr="00DB6D42">
        <w:rPr>
          <w:rFonts w:cs="Arial"/>
          <w:lang w:val="en-US"/>
        </w:rPr>
        <w:t>α</w:t>
      </w:r>
      <w:r w:rsidR="00985E62" w:rsidRPr="00DB6D42">
        <w:rPr>
          <w:lang w:val="en-US"/>
        </w:rPr>
        <w:t xml:space="preserve">-Gal antibodies, as measured by </w:t>
      </w:r>
      <w:r w:rsidR="00812D97" w:rsidRPr="00DB6D42">
        <w:rPr>
          <w:lang w:val="en-US"/>
        </w:rPr>
        <w:t xml:space="preserve">a significant decrease in </w:t>
      </w:r>
      <w:r w:rsidR="002A4638" w:rsidRPr="00DB6D42">
        <w:rPr>
          <w:rFonts w:cs="Arial"/>
          <w:szCs w:val="22"/>
          <w:lang w:val="en-US"/>
        </w:rPr>
        <w:t>AT</w:t>
      </w:r>
      <w:r w:rsidR="00985E62" w:rsidRPr="00DB6D42">
        <w:rPr>
          <w:rFonts w:cs="Arial"/>
          <w:szCs w:val="22"/>
          <w:lang w:val="en-US"/>
        </w:rPr>
        <w:t xml:space="preserve"> CL-</w:t>
      </w:r>
      <w:r w:rsidR="002A4638" w:rsidRPr="00DB6D42">
        <w:rPr>
          <w:rFonts w:cs="Arial"/>
          <w:szCs w:val="22"/>
          <w:lang w:val="en-US"/>
        </w:rPr>
        <w:t>ELISA titers</w:t>
      </w:r>
      <w:r w:rsidR="00897C0A" w:rsidRPr="00DB6D42">
        <w:rPr>
          <w:rFonts w:cs="Arial"/>
          <w:szCs w:val="22"/>
          <w:lang w:val="en-US"/>
        </w:rPr>
        <w:t xml:space="preserve"> at 12 months</w:t>
      </w:r>
      <w:r w:rsidR="00812D97" w:rsidRPr="00DB6D42">
        <w:rPr>
          <w:rFonts w:cs="Arial"/>
          <w:szCs w:val="22"/>
          <w:lang w:val="en-US"/>
        </w:rPr>
        <w:t xml:space="preserve"> post-treatment</w:t>
      </w:r>
      <w:r w:rsidR="002A4638" w:rsidRPr="00DB6D42">
        <w:rPr>
          <w:rFonts w:cs="Arial"/>
          <w:szCs w:val="22"/>
          <w:lang w:val="en-US"/>
        </w:rPr>
        <w:t>.</w:t>
      </w:r>
      <w:r w:rsidR="00812D97" w:rsidRPr="00DB6D42">
        <w:rPr>
          <w:rFonts w:cs="Arial"/>
          <w:szCs w:val="22"/>
          <w:lang w:val="en-US"/>
        </w:rPr>
        <w:t xml:space="preserve"> </w:t>
      </w:r>
      <w:r w:rsidR="00335A39" w:rsidRPr="00DB6D42">
        <w:rPr>
          <w:rFonts w:cs="Arial"/>
          <w:szCs w:val="22"/>
          <w:lang w:val="en-US"/>
        </w:rPr>
        <w:t xml:space="preserve">Nine </w:t>
      </w:r>
      <w:r w:rsidR="00812D97" w:rsidRPr="00DB6D42">
        <w:rPr>
          <w:rFonts w:cs="Arial"/>
          <w:szCs w:val="22"/>
          <w:lang w:val="en-US"/>
        </w:rPr>
        <w:t>percent (</w:t>
      </w:r>
      <w:r w:rsidR="00335A39" w:rsidRPr="00DB6D42">
        <w:rPr>
          <w:rFonts w:cs="Arial"/>
          <w:szCs w:val="22"/>
          <w:lang w:val="en-US"/>
        </w:rPr>
        <w:t>4</w:t>
      </w:r>
      <w:r w:rsidR="00812D97" w:rsidRPr="00DB6D42">
        <w:rPr>
          <w:rFonts w:cs="Arial"/>
          <w:szCs w:val="22"/>
          <w:lang w:val="en-US"/>
        </w:rPr>
        <w:t xml:space="preserve">/44) of treated patients </w:t>
      </w:r>
      <w:r w:rsidR="00CE3D5B" w:rsidRPr="00DB6D42">
        <w:rPr>
          <w:rFonts w:cs="Arial"/>
          <w:szCs w:val="22"/>
          <w:lang w:val="en-US"/>
        </w:rPr>
        <w:t xml:space="preserve">negatively </w:t>
      </w:r>
      <w:r w:rsidR="00812D97" w:rsidRPr="00DB6D42">
        <w:rPr>
          <w:rFonts w:cs="Arial"/>
          <w:szCs w:val="22"/>
          <w:lang w:val="en-US"/>
        </w:rPr>
        <w:t xml:space="preserve">seroconverted for the AT CL-ELISA at the end </w:t>
      </w:r>
      <w:r w:rsidR="00FF24AF" w:rsidRPr="00DB6D42">
        <w:rPr>
          <w:rFonts w:cs="Arial"/>
          <w:szCs w:val="22"/>
          <w:lang w:val="en-US"/>
        </w:rPr>
        <w:t xml:space="preserve">of the </w:t>
      </w:r>
      <w:r w:rsidR="00812D97" w:rsidRPr="00DB6D42">
        <w:rPr>
          <w:rFonts w:cs="Arial"/>
          <w:szCs w:val="22"/>
          <w:lang w:val="en-US"/>
        </w:rPr>
        <w:t>follow-up</w:t>
      </w:r>
      <w:r w:rsidR="00EF6872" w:rsidRPr="00DB6D42">
        <w:rPr>
          <w:rFonts w:cs="Arial"/>
          <w:szCs w:val="22"/>
          <w:lang w:val="en-US"/>
        </w:rPr>
        <w:t>, as compared to</w:t>
      </w:r>
      <w:r w:rsidR="00812D97" w:rsidRPr="00DB6D42">
        <w:rPr>
          <w:rFonts w:cs="Arial"/>
          <w:szCs w:val="22"/>
          <w:lang w:val="en-US"/>
        </w:rPr>
        <w:t xml:space="preserve"> 4% </w:t>
      </w:r>
      <w:r w:rsidR="00713510" w:rsidRPr="00DB6D42">
        <w:rPr>
          <w:rFonts w:cs="Arial"/>
          <w:szCs w:val="22"/>
          <w:lang w:val="en-US"/>
        </w:rPr>
        <w:t xml:space="preserve">(2/46) </w:t>
      </w:r>
      <w:r w:rsidR="00812D97" w:rsidRPr="00DB6D42">
        <w:rPr>
          <w:rFonts w:cs="Arial"/>
          <w:szCs w:val="22"/>
          <w:lang w:val="en-US"/>
        </w:rPr>
        <w:t xml:space="preserve">of the placebo-treated group. </w:t>
      </w:r>
      <w:r w:rsidR="003D412B" w:rsidRPr="00DB6D42">
        <w:rPr>
          <w:rFonts w:cs="Arial"/>
          <w:szCs w:val="22"/>
          <w:lang w:val="en-US"/>
        </w:rPr>
        <w:t>Higher</w:t>
      </w:r>
      <w:r w:rsidR="00812D97" w:rsidRPr="00DB6D42">
        <w:rPr>
          <w:rFonts w:cs="Arial"/>
          <w:szCs w:val="22"/>
          <w:lang w:val="en-US"/>
        </w:rPr>
        <w:t xml:space="preserve"> AT CL-ELISA </w:t>
      </w:r>
      <w:r w:rsidR="00CE3D5B" w:rsidRPr="00DB6D42">
        <w:rPr>
          <w:rFonts w:cs="Arial"/>
          <w:szCs w:val="22"/>
          <w:lang w:val="en-US"/>
        </w:rPr>
        <w:t xml:space="preserve">negative </w:t>
      </w:r>
      <w:r w:rsidR="00812D97" w:rsidRPr="00DB6D42">
        <w:rPr>
          <w:rFonts w:cs="Arial"/>
          <w:szCs w:val="22"/>
          <w:lang w:val="en-US"/>
        </w:rPr>
        <w:t xml:space="preserve">seroconversion </w:t>
      </w:r>
      <w:r w:rsidR="00713510" w:rsidRPr="00DB6D42">
        <w:rPr>
          <w:rFonts w:cs="Arial"/>
          <w:szCs w:val="22"/>
          <w:lang w:val="en-US"/>
        </w:rPr>
        <w:t xml:space="preserve">(58% and 85%, by per protocol analysis, three and six years post-treatment, respectively) </w:t>
      </w:r>
      <w:r w:rsidR="00812D97" w:rsidRPr="00DB6D42">
        <w:rPr>
          <w:rFonts w:cs="Arial"/>
          <w:szCs w:val="22"/>
          <w:lang w:val="en-US"/>
        </w:rPr>
        <w:t xml:space="preserve">was observed in </w:t>
      </w:r>
      <w:r w:rsidR="00812D97" w:rsidRPr="00DB6D42">
        <w:rPr>
          <w:rFonts w:cs="Arial"/>
          <w:i/>
          <w:szCs w:val="22"/>
          <w:lang w:val="en-US"/>
        </w:rPr>
        <w:t xml:space="preserve">T. </w:t>
      </w:r>
      <w:proofErr w:type="spellStart"/>
      <w:r w:rsidR="00812D97" w:rsidRPr="00DB6D42">
        <w:rPr>
          <w:rFonts w:cs="Arial"/>
          <w:i/>
          <w:szCs w:val="22"/>
          <w:lang w:val="en-US"/>
        </w:rPr>
        <w:t>cruzi</w:t>
      </w:r>
      <w:proofErr w:type="spellEnd"/>
      <w:r w:rsidR="00812D97" w:rsidRPr="00DB6D42">
        <w:rPr>
          <w:rFonts w:cs="Arial"/>
          <w:szCs w:val="22"/>
          <w:lang w:val="en-US"/>
        </w:rPr>
        <w:t>-infected children treated with BZN</w:t>
      </w:r>
      <w:r w:rsidR="00B803C0" w:rsidRPr="00DB6D42">
        <w:rPr>
          <w:rFonts w:cs="Arial"/>
          <w:szCs w:val="22"/>
          <w:lang w:val="en-US"/>
        </w:rPr>
        <w:t>.</w:t>
      </w:r>
      <w:r w:rsidR="00610C41" w:rsidRPr="00DB6D42">
        <w:rPr>
          <w:rFonts w:cs="Arial"/>
          <w:szCs w:val="22"/>
          <w:vertAlign w:val="superscript"/>
          <w:lang w:val="en-US"/>
        </w:rPr>
        <w:t>17</w:t>
      </w:r>
      <w:r w:rsidR="0027341A" w:rsidRPr="00DB6D42">
        <w:rPr>
          <w:rFonts w:cs="Arial"/>
          <w:szCs w:val="22"/>
          <w:vertAlign w:val="superscript"/>
          <w:lang w:val="en-US"/>
        </w:rPr>
        <w:t>,</w:t>
      </w:r>
      <w:r w:rsidR="00610C41" w:rsidRPr="00DB6D42">
        <w:rPr>
          <w:rFonts w:cs="Arial"/>
          <w:szCs w:val="22"/>
          <w:vertAlign w:val="superscript"/>
          <w:lang w:val="en-US"/>
        </w:rPr>
        <w:t>27</w:t>
      </w:r>
      <w:r w:rsidR="00B803C0" w:rsidRPr="00DB6D42">
        <w:rPr>
          <w:rFonts w:cs="Arial"/>
          <w:szCs w:val="22"/>
          <w:lang w:val="en-US"/>
        </w:rPr>
        <w:t xml:space="preserve"> </w:t>
      </w:r>
      <w:r w:rsidR="00713510" w:rsidRPr="00DB6D42">
        <w:rPr>
          <w:rFonts w:cs="Arial"/>
          <w:szCs w:val="22"/>
          <w:lang w:val="en-US"/>
        </w:rPr>
        <w:t xml:space="preserve">Since the follow-up in this current study was only for 12 months, we hypothesize that </w:t>
      </w:r>
      <w:r w:rsidR="009C5302" w:rsidRPr="00DB6D42">
        <w:rPr>
          <w:rFonts w:cs="Arial"/>
          <w:szCs w:val="22"/>
          <w:lang w:val="en-US"/>
        </w:rPr>
        <w:t xml:space="preserve">a higher number of </w:t>
      </w:r>
      <w:r w:rsidR="00970F7F" w:rsidRPr="00DB6D42">
        <w:rPr>
          <w:rFonts w:cs="Arial"/>
          <w:szCs w:val="22"/>
          <w:lang w:val="en-US"/>
        </w:rPr>
        <w:t xml:space="preserve">negative </w:t>
      </w:r>
      <w:r w:rsidR="009C5302" w:rsidRPr="00DB6D42">
        <w:rPr>
          <w:rFonts w:cs="Arial"/>
          <w:szCs w:val="22"/>
          <w:lang w:val="en-US"/>
        </w:rPr>
        <w:t>seroconversion</w:t>
      </w:r>
      <w:r w:rsidR="009A3BBD" w:rsidRPr="00DB6D42">
        <w:rPr>
          <w:rFonts w:cs="Arial"/>
          <w:szCs w:val="22"/>
          <w:lang w:val="en-US"/>
        </w:rPr>
        <w:t>s</w:t>
      </w:r>
      <w:r w:rsidR="009C5302" w:rsidRPr="00DB6D42">
        <w:rPr>
          <w:rFonts w:cs="Arial"/>
          <w:szCs w:val="22"/>
          <w:lang w:val="en-US"/>
        </w:rPr>
        <w:t xml:space="preserve"> could </w:t>
      </w:r>
      <w:r w:rsidR="00970F7F" w:rsidRPr="00DB6D42">
        <w:rPr>
          <w:rFonts w:cs="Arial"/>
          <w:szCs w:val="22"/>
          <w:lang w:val="en-US"/>
        </w:rPr>
        <w:t>have been</w:t>
      </w:r>
      <w:r w:rsidR="009C5302" w:rsidRPr="00DB6D42">
        <w:rPr>
          <w:rFonts w:cs="Arial"/>
          <w:szCs w:val="22"/>
          <w:lang w:val="en-US"/>
        </w:rPr>
        <w:t xml:space="preserve"> </w:t>
      </w:r>
      <w:r w:rsidR="00970F7F" w:rsidRPr="00DB6D42">
        <w:rPr>
          <w:rFonts w:cs="Arial"/>
          <w:szCs w:val="22"/>
          <w:lang w:val="en-US"/>
        </w:rPr>
        <w:t>detected</w:t>
      </w:r>
      <w:r w:rsidR="009C5302" w:rsidRPr="00DB6D42">
        <w:rPr>
          <w:rFonts w:cs="Arial"/>
          <w:szCs w:val="22"/>
          <w:lang w:val="en-US"/>
        </w:rPr>
        <w:t xml:space="preserve"> </w:t>
      </w:r>
      <w:r w:rsidR="00FF24AF" w:rsidRPr="00DB6D42">
        <w:rPr>
          <w:rFonts w:cs="Arial"/>
          <w:szCs w:val="22"/>
          <w:lang w:val="en-US"/>
        </w:rPr>
        <w:t>with a</w:t>
      </w:r>
      <w:r w:rsidR="009C5302" w:rsidRPr="00DB6D42">
        <w:rPr>
          <w:rFonts w:cs="Arial"/>
          <w:szCs w:val="22"/>
          <w:lang w:val="en-US"/>
        </w:rPr>
        <w:t xml:space="preserve"> longer follow-up perio</w:t>
      </w:r>
      <w:r w:rsidR="00FF24AF" w:rsidRPr="00DB6D42">
        <w:rPr>
          <w:rFonts w:cs="Arial"/>
          <w:szCs w:val="22"/>
          <w:lang w:val="en-US"/>
        </w:rPr>
        <w:t>d</w:t>
      </w:r>
      <w:r w:rsidR="00B803C0" w:rsidRPr="00DB6D42">
        <w:rPr>
          <w:rFonts w:cs="Arial"/>
          <w:szCs w:val="22"/>
          <w:lang w:val="en-US"/>
        </w:rPr>
        <w:t>.</w:t>
      </w:r>
      <w:r w:rsidR="00610C41" w:rsidRPr="00DB6D42">
        <w:rPr>
          <w:rFonts w:cs="Arial"/>
          <w:szCs w:val="22"/>
          <w:vertAlign w:val="superscript"/>
          <w:lang w:val="en-US"/>
        </w:rPr>
        <w:t>27</w:t>
      </w:r>
    </w:p>
    <w:p w14:paraId="69D69C9C" w14:textId="7B63C5A7" w:rsidR="002A4638" w:rsidRPr="00DB6D42" w:rsidRDefault="00C66281" w:rsidP="00BB5FF5">
      <w:pPr>
        <w:shd w:val="clear" w:color="auto" w:fill="FFFFFF"/>
        <w:spacing w:line="360" w:lineRule="auto"/>
        <w:jc w:val="both"/>
        <w:rPr>
          <w:rFonts w:cs="Arial"/>
          <w:szCs w:val="22"/>
          <w:lang w:val="en-US"/>
        </w:rPr>
      </w:pPr>
      <w:r w:rsidRPr="00DB6D42">
        <w:rPr>
          <w:rFonts w:cs="Arial"/>
          <w:szCs w:val="22"/>
          <w:lang w:val="en-US"/>
        </w:rPr>
        <w:t>Finally, d</w:t>
      </w:r>
      <w:r w:rsidR="002A4638" w:rsidRPr="00DB6D42">
        <w:rPr>
          <w:rFonts w:cs="Arial"/>
          <w:szCs w:val="22"/>
          <w:lang w:val="en-US"/>
        </w:rPr>
        <w:t xml:space="preserve">ue to the lack of </w:t>
      </w:r>
      <w:r w:rsidR="00FF24AF" w:rsidRPr="00DB6D42">
        <w:rPr>
          <w:rFonts w:cs="Arial"/>
          <w:szCs w:val="22"/>
          <w:lang w:val="en-US"/>
        </w:rPr>
        <w:t xml:space="preserve">early </w:t>
      </w:r>
      <w:r w:rsidR="002A4638" w:rsidRPr="00DB6D42">
        <w:rPr>
          <w:rFonts w:cs="Arial"/>
          <w:szCs w:val="22"/>
          <w:lang w:val="en-US"/>
        </w:rPr>
        <w:t>biomarkers of therapeutic efficacy</w:t>
      </w:r>
      <w:r w:rsidR="000D31FD" w:rsidRPr="00DB6D42">
        <w:rPr>
          <w:rFonts w:cs="Arial"/>
          <w:szCs w:val="22"/>
          <w:lang w:val="en-US"/>
        </w:rPr>
        <w:t>,</w:t>
      </w:r>
      <w:r w:rsidR="000D31FD" w:rsidRPr="00DB6D42">
        <w:rPr>
          <w:rFonts w:cs="Arial"/>
          <w:szCs w:val="22"/>
          <w:lang w:val="en-US"/>
        </w:rPr>
        <w:fldChar w:fldCharType="begin" w:fldLock="1"/>
      </w:r>
      <w:r w:rsidR="00091C3D" w:rsidRPr="00DB6D42">
        <w:rPr>
          <w:rFonts w:cs="Arial"/>
          <w:szCs w:val="22"/>
          <w:lang w:val="en-US"/>
        </w:rPr>
        <w:instrText>ADDIN CSL_CITATION { "citationItems" : [ { "id" : "ITEM-1", "itemData" : { "DOI" : "10.1586/14787210.2014.899150", "ISSN" : "1744-8336", "PMID" : "24621252", "abstract" : "The most neglected aspects of Chagas disease (CD) have been patient care and treatment. Despite recent progress in the development of potentially improved drugs, there is no consensus among different research groups on the lack of therapeutic response markers to evaluate efficacy of newly proposed drugs early after treatment. A systematic review of current evidence regarding molecules which are potential biomarkers for therapeutic response has been conducted using quality assessment and target responses as primary criteria. The review provides a panorama of the cumulative evidence and specific needs for development of a battery of complementary biomarkers which together fulfill ideal or acceptable criteria to evaluate early responses to treatment for chronic CD. There are several marker candidates which together may fulfill acceptable criteria to indicate the efficacy of a trypanocidal treatment. Data from ongoing studies are considered essential to improve assessment of existing markers and to identify those for early follow-up of treated patients.", "author" : [ { "dropping-particle" : "", "family" : "Pinazo", "given" : "Maria-Jes\u00fas", "non-dropping-particle" : "", "parse-names" : false, "suffix" : "" }, { "dropping-particle" : "", "family" : "Thomas", "given" : "M Carmen", "non-dropping-particle" : "", "parse-names" : false, "suffix" : "" }, { "dropping-particle" : "", "family" : "Bua", "given" : "Jacqueline", "non-dropping-particle" : "", "parse-names" : false, "suffix" : "" }, { "dropping-particle" : "", "family" : "Perrone", "given" : "Alina", "non-dropping-particle" : "", "parse-names" : false, "suffix" : "" }, { "dropping-particle" : "", "family" : "Schijman", "given" : "Alejandro-Gabriel", "non-dropping-particle" : "", "parse-names" : false, "suffix" : "" }, { "dropping-particle" : "", "family" : "Viotti", "given" : "Rodolfo-Jorge", "non-dropping-particle" : "", "parse-names" : false, "suffix" : "" }, { "dropping-particle" : "", "family" : "Ramsey", "given" : "Janine-M", "non-dropping-particle" : "", "parse-names" : false, "suffix" : "" }, { "dropping-particle" : "", "family" : "Ribeiro", "given" : "Isabela", "non-dropping-particle" : "", "parse-names" : false, "suffix" : "" }, { "dropping-particle" : "", "family" : "Sosa-Estani", "given" : "Sergio", "non-dropping-particle" : "", "parse-names" : false, "suffix" : "" }, { "dropping-particle" : "", "family" : "L\u00f3pez", "given" : "Manuel-Carlos", "non-dropping-particle" : "", "parse-names" : false, "suffix" : "" }, { "dropping-particle" : "", "family" : "Gascon", "given" : "Joaquim", "non-dropping-particle" : "", "parse-names" : false, "suffix" : "" } ], "container-title" : "Expert review of anti-infective therapy", "id" : "ITEM-1", "issue" : "4", "issued" : { "date-parts" : [ [ "2014" ] ] }, "page" : "479-96", "title" : "Biological markers for evaluating therapeutic efficacy in Chagas disease, a systematic review.", "type" : "article-journal", "volume" : "12" }, "uris" : [ "http://www.mendeley.com/documents/?uuid=d126e4cd-e089-4841-8a25-4894dc2a49ff", "http://www.mendeley.com/documents/?uuid=3a2f884b-9d23-4814-8b31-6e693f144fce" ] } ], "mendeley" : { "formattedCitation" : "&lt;sup&gt;38&lt;/sup&gt;", "manualFormatting" : "31", "plainTextFormattedCitation" : "38", "previouslyFormattedCitation" : "&lt;sup&gt;38&lt;/sup&gt;" }, "properties" : { "noteIndex" : 0 }, "schema" : "https://github.com/citation-style-language/schema/raw/master/csl-citation.json" }</w:instrText>
      </w:r>
      <w:r w:rsidR="000D31FD" w:rsidRPr="00DB6D42">
        <w:rPr>
          <w:rFonts w:cs="Arial"/>
          <w:szCs w:val="22"/>
          <w:lang w:val="en-US"/>
        </w:rPr>
        <w:fldChar w:fldCharType="separate"/>
      </w:r>
      <w:r w:rsidR="00610C41" w:rsidRPr="00DB6D42">
        <w:rPr>
          <w:rFonts w:cs="Arial"/>
          <w:noProof/>
          <w:szCs w:val="22"/>
          <w:vertAlign w:val="superscript"/>
          <w:lang w:val="en-US"/>
        </w:rPr>
        <w:t>28</w:t>
      </w:r>
      <w:r w:rsidR="000D31FD" w:rsidRPr="00DB6D42">
        <w:rPr>
          <w:rFonts w:cs="Arial"/>
          <w:szCs w:val="22"/>
          <w:lang w:val="en-US"/>
        </w:rPr>
        <w:fldChar w:fldCharType="end"/>
      </w:r>
      <w:r w:rsidR="002A4638" w:rsidRPr="00DB6D42">
        <w:rPr>
          <w:rFonts w:cs="Arial"/>
          <w:szCs w:val="22"/>
          <w:lang w:val="en-US"/>
        </w:rPr>
        <w:t xml:space="preserve"> </w:t>
      </w:r>
      <w:r w:rsidR="006F625B" w:rsidRPr="00DB6D42">
        <w:rPr>
          <w:rFonts w:cs="Arial"/>
          <w:szCs w:val="22"/>
          <w:lang w:val="en-US"/>
        </w:rPr>
        <w:t>the need for a long follow-up using conventional serology</w:t>
      </w:r>
      <w:r w:rsidR="00356AFC" w:rsidRPr="00DB6D42">
        <w:rPr>
          <w:rFonts w:cs="Arial"/>
          <w:szCs w:val="22"/>
          <w:lang w:val="en-US"/>
        </w:rPr>
        <w:t xml:space="preserve">, </w:t>
      </w:r>
      <w:r w:rsidR="00A91CA5" w:rsidRPr="00DB6D42">
        <w:rPr>
          <w:rFonts w:cs="Arial"/>
          <w:color w:val="000000"/>
          <w:lang w:val="en-US"/>
        </w:rPr>
        <w:t xml:space="preserve">and the inability to use the clinical symptoms for this purpose, </w:t>
      </w:r>
      <w:r w:rsidR="002A4638" w:rsidRPr="00DB6D42">
        <w:rPr>
          <w:rFonts w:cs="Arial"/>
          <w:color w:val="000000"/>
          <w:lang w:val="en-US"/>
        </w:rPr>
        <w:t>PCR has emerged as useful</w:t>
      </w:r>
      <w:r w:rsidR="00A91CA5" w:rsidRPr="00DB6D42">
        <w:rPr>
          <w:rFonts w:cs="Arial"/>
          <w:color w:val="000000"/>
          <w:lang w:val="en-US"/>
        </w:rPr>
        <w:t xml:space="preserve"> tool</w:t>
      </w:r>
      <w:r w:rsidR="00A91CA5" w:rsidRPr="00DB6D42">
        <w:rPr>
          <w:lang w:val="en-US"/>
        </w:rPr>
        <w:t>.</w:t>
      </w:r>
      <w:r w:rsidR="0027341A" w:rsidRPr="00DB6D42">
        <w:rPr>
          <w:lang w:val="en-US"/>
        </w:rPr>
        <w:fldChar w:fldCharType="begin" w:fldLock="1"/>
      </w:r>
      <w:r w:rsidR="0027341A" w:rsidRPr="00DB6D42">
        <w:rPr>
          <w:lang w:val="en-US"/>
        </w:rPr>
        <w:instrText>ADDIN CSL_CITATION { "citationItems" : [ { "id" : "ITEM-1", "itemData" : { "DOI" : "10.1371/journal.pntd.0000931", "ISSN" : "1935-2735", "PMID" : "21264349", "abstract" : "BACKGROUND: A century after its discovery, Chagas disease still represents a major neglected tropical threat. Accurate diagnostics tools as well as surrogate markers of parasitological response to treatment are research priorities in the field. The purpose of this study was to evaluate the performance of PCR methods in detection of Trypanosoma cruzi DNA by an external quality evaluation.\n\nMETHODOLOGY/FINDINGS: An international collaborative study was launched by expert PCR laboratories from 16 countries. Currently used strategies were challenged against serial dilutions of purified DNA from stocks representing T. cruzi discrete typing units (DTU) I, IV and VI (set A), human blood spiked with parasite cells (set B) and Guanidine Hidrochloride-EDTA blood samples from 32 seropositive and 10 seronegative patients from Southern Cone countries (set C). Forty eight PCR tests were reported for set A and 44 for sets B and C; 28 targeted minicircle DNA (kDNA), 13 satellite DNA (Sat-DNA) and the remainder low copy number sequences. In set A, commercial master mixes and Sat-DNA Real Time PCR showed better specificity, but kDNA-PCR was more sensitive to detect DTU I DNA. In set B, commercial DNA extraction kits presented better specificity than solvent extraction protocols. Sat-DNA PCR tests had higher specificity, with sensitivities of 0.05-0.5 parasites/mL whereas specific kDNA tests detected 5.10(-3) par/mL. Sixteen specific and coherent methods had a Good Performance in both sets A and B (10 fg/\u00b5l of DNA from all stocks, 5 par/mL spiked blood). The median values of sensitivities, specificities and accuracies obtained in testing the Set C samples with the 16 tests determined to be good performing by analyzing Sets A and B samples varied considerably. Out of them, four methods depicted the best performing parameters in all three sets of samples, detecting at least 10 fg/\u00b5l for each DNA stock, 0.5 par/mL and a sensitivity between 83.3-94.4%, specificity of 85-95%, accuracy of 86.8-89.5% and kappa index of 0.7-0.8 compared to consensus PCR reports of the 16 good performing tests and 63-69%, 100%, 71.4-76.2% and 0.4-0.5, respectively compared to serodiagnosis. Method LbD2 used solvent extraction followed by Sybr-Green based Real time PCR targeted to Sat-DNA; method LbD3 used solvent DNA extraction followed by conventional PCR targeted to Sat-DNA. The third method (LbF1) used glass fiber column based DNA extraction followed by TaqMan Real Time PCR targeted to Sat-DNA \u2026", "author" : [ { "dropping-particle" : "", "family" : "Schijman", "given" : "Alejandro G", "non-dropping-particle" : "", "parse-names" : false, "suffix" : "" }, { "dropping-particle" : "", "family" : "Bisio", "given" : "Margarita", "non-dropping-particle" : "", "parse-names" : false, "suffix" : "" }, { "dropping-particle" : "", "family" : "Orellana", "given" : "Liliana", "non-dropping-particle" : "", "parse-names" : false, "suffix" : "" }, { "dropping-particle" : "", "family" : "Sued", "given" : "Mariela", "non-dropping-particle" : "", "parse-names" : false, "suffix" : "" }, { "dropping-particle" : "", "family" : "Duffy", "given" : "Tom\u00e1s", "non-dropping-particle" : "", "parse-names" : false, "suffix" : "" }, { "dropping-particle" : "", "family" : "Mejia Jaramillo", "given" : "Ana M", "non-dropping-particle" : "", "parse-names" : false, "suffix" : "" }, { "dropping-particle" : "", "family" : "Cura", "given" : "Carolina", "non-dropping-particle" : "", "parse-names" : false, "suffix" : "" }, { "dropping-particle" : "", "family" : "Auter", "given" : "Frederic", "non-dropping-particle" : "", "parse-names" : false, "suffix" : "" }, { "dropping-particle" : "", "family" : "Veron", "given" : "Vincent", "non-dropping-particle" : "", "parse-names" : false, "suffix" : "" }, { "dropping-particle" : "", "family" : "Qvarnstrom", "given" : "Yvonne", "non-dropping-particle" : "", "parse-names" : false, "suffix" : "" }, { "dropping-particle" : "", "family" : "Deborggraeve", "given" : "Stijn", "non-dropping-particle" : "", "parse-names" : false, "suffix" : "" }, { "dropping-particle" : "", "family" : "Hijar", "given" : "Gisely", "non-dropping-particle" : "", "parse-names" : false, "suffix" : "" }, { "dropping-particle" : "", "family" : "Zulantay", "given" : "In\u00e9s", "non-dropping-particle" : "", "parse-names" : false, "suffix" : "" }, { "dropping-particle" : "", "family" : "Lucero", "given" : "Ra\u00fal Horacio", "non-dropping-particle" : "", "parse-names" : false, "suffix" : "" }, { "dropping-particle" : "", "family" : "Velazquez", "given" : "Elsa", "non-dropping-particle" : "", "parse-names" : false, "suffix" : "" }, { "dropping-particle" : "", "family" : "Tellez", "given" : "Tatiana", "non-dropping-particle" : "", "parse-names" : false, "suffix" : "" }, { "dropping-particle" : "", "family" : "Sanchez Leon", "given" : "Zunilda", "non-dropping-particle" : "", "parse-names" : false, "suffix" : "" }, { "dropping-particle" : "", "family" : "Galv\u00e3o", "given" : "Lucia", "non-dropping-particle" : "", "parse-names" : false, "suffix" : "" }, { "dropping-particle" : "", "family" : "Nolder", "given" : "Debbie", "non-dropping-particle" : "", "parse-names" : false, "suffix" : "" }, { "dropping-particle" : "", "family" : "Monje Rumi", "given" : "Mar\u00eda", "non-dropping-particle" : "", "parse-names" : false, "suffix" : "" }, { "dropping-particle" : "", "family" : "Levi", "given" : "Jos\u00e9 E", "non-dropping-particle" : "", "parse-names" : false, "suffix" : "" }, { "dropping-particle" : "", "family" : "Ramirez", "given" : "Juan D", "non-dropping-particle" : "", "parse-names" : false, "suffix" : "" }, { "dropping-particle" : "", "family" : "Zorrilla", "given" : "Pilar", "non-dropping-particle" : "", "parse-names" : false, "suffix" : "" }, { "dropping-particle" : "", "family" : "Flores", "given" : "Mar\u00eda", "non-dropping-particle" : "", "parse-names" : false, "suffix" : "" }, { "dropping-particle" : "", "family" : "Jercic", "given" : "Maria I", "non-dropping-particle" : "", "parse-names" : false, "suffix" : "" }, { "dropping-particle" : "", "family" : "Crisante", "given" : "Gladys", "non-dropping-particle" : "", "parse-names" : false, "suffix" : "" }, { "dropping-particle" : "", "family" : "A\u00f1ez", "given" : "N\u00e9stor", "non-dropping-particle" : "", "parse-names" : false, "suffix" : "" }, { "dropping-particle" : "", "family" : "Castro", "given" : "Ana M", "non-dropping-particle" : "De", "parse-names" : false, "suffix" : "" }, { "dropping-particle" : "", "family" : "Gonzalez", "given" : "Clara I", "non-dropping-particle" : "", "parse-names" : false, "suffix" : "" }, { "dropping-particle" : "", "family" : "Acosta Viana", "given" : "Karla", "non-dropping-particle" : "", "parse-names" : false, "suffix" : "" }, { "dropping-particle" : "", "family" : "Yachelini", "given" : "Pedro", "non-dropping-particle" : "", "parse-names" : false, "suffix" : "" }, { "dropping-particle" : "", "family" : "Torrico", "given" : "Faustino", "non-dropping-particle" : "", "parse-names" : false, "suffix" : "" }, { "dropping-particle" : "", "family" : "Robello", "given" : "Carlos", "non-dropping-particle" : "", "parse-names" : false, "suffix" : "" }, { "dropping-particle" : "", "family" : "Diosque", "given" : "Patricio", "non-dropping-particle" : "", "parse-names" : false, "suffix" : "" }, { "dropping-particle" : "", "family" : "Triana Chavez", "given" : "Omar", "non-dropping-particle" : "", "parse-names" : false, "suffix" : "" }, { "dropping-particle" : "", "family" : "Aznar", "given" : "Christine", "non-dropping-particle" : "", "parse-names" : false, "suffix" : "" }, { "dropping-particle" : "", "family" : "Russomando", "given" : "Graciela", "non-dropping-particle" : "", "parse-names" : false, "suffix" : "" }, { "dropping-particle" : "", "family" : "B\u00fcscher", "given" : "Philippe", "non-dropping-particle" : "", "parse-names" : false, "suffix" : "" }, { "dropping-particle" : "", "family" : "Assal", "given" : "Azzedine", "non-dropping-particle" : "", "parse-names" : false, "suffix" : "" }, { "dropping-particle" : "", "family" : "Guhl", "given" : "Felipe", "non-dropping-particle" : "", "parse-names" : false, "suffix" : "" }, { "dropping-particle" : "", "family" : "Sosa Estani", "given" : "Sergio", "non-dropping-particle" : "", "parse-names" : false, "suffix" : "" }, { "dropping-particle" : "", "family" : "DaSilva", "given" : "Alexandre", "non-dropping-particle" : "", "parse-names" : false, "suffix" : "" }, { "dropping-particle" : "", "family" : "Britto", "given" : "Constan\u00e7a", "non-dropping-particle" : "", "parse-names" : false, "suffix" : "" }, { "dropping-particle" : "", "family" : "Luquetti", "given" : "Alejandro", "non-dropping-particle" : "", "parse-names" : false, "suffix" : "" }, { "dropping-particle" : "", "family" : "Ladzins", "given" : "Janis", "non-dropping-particle" : "", "parse-names" : false, "suffix" : "" } ], "container-title" : "PLoS neglected tropical diseases", "id" : "ITEM-1", "issue" : "1", "issued" : { "date-parts" : [ [ "2011", "1" ] ] }, "page" : "e931", "title" : "International study to evaluate PCR methods for detection of Trypanosoma cruzi DNA in blood samples from Chagas disease patients.", "type" : "article-journal", "volume" : "5" }, "uris" : [ "http://www.mendeley.com/documents/?uuid=29cc9b4b-5e2a-49a2-aa63-3872dcf027d8", "http://www.mendeley.com/documents/?uuid=922e1c1a-e9b5-4811-a066-7f541f737246" ] } ], "mendeley" : { "formattedCitation" : "&lt;sup&gt;23&lt;/sup&gt;", "manualFormatting" : "1", "plainTextFormattedCitation" : "23", "previouslyFormattedCitation" : "&lt;sup&gt;23&lt;/sup&gt;" }, "properties" : { "noteIndex" : 0 }, "schema" : "https://github.com/citation-style-language/schema/raw/master/csl-citation.json" }</w:instrText>
      </w:r>
      <w:r w:rsidR="0027341A" w:rsidRPr="00DB6D42">
        <w:rPr>
          <w:lang w:val="en-US"/>
        </w:rPr>
        <w:fldChar w:fldCharType="separate"/>
      </w:r>
      <w:r w:rsidR="0027341A" w:rsidRPr="00DB6D42">
        <w:rPr>
          <w:noProof/>
          <w:vertAlign w:val="superscript"/>
          <w:lang w:val="en-US"/>
        </w:rPr>
        <w:t>1</w:t>
      </w:r>
      <w:r w:rsidR="0027341A" w:rsidRPr="00DB6D42">
        <w:rPr>
          <w:lang w:val="en-US"/>
        </w:rPr>
        <w:fldChar w:fldCharType="end"/>
      </w:r>
      <w:r w:rsidR="000C4EF7" w:rsidRPr="00DB6D42">
        <w:rPr>
          <w:noProof/>
          <w:vertAlign w:val="superscript"/>
          <w:lang w:val="en-US"/>
        </w:rPr>
        <w:t>2</w:t>
      </w:r>
      <w:r w:rsidR="00A91CA5" w:rsidRPr="00DB6D42">
        <w:rPr>
          <w:lang w:val="en-US"/>
        </w:rPr>
        <w:t xml:space="preserve"> </w:t>
      </w:r>
      <w:r w:rsidR="003E1E81" w:rsidRPr="00DB6D42">
        <w:rPr>
          <w:lang w:val="en-US"/>
        </w:rPr>
        <w:t>Th</w:t>
      </w:r>
      <w:r w:rsidR="00A929E6" w:rsidRPr="00DB6D42">
        <w:rPr>
          <w:lang w:val="en-US"/>
        </w:rPr>
        <w:t>is placebo-controlled</w:t>
      </w:r>
      <w:r w:rsidR="003E1E81" w:rsidRPr="00DB6D42">
        <w:rPr>
          <w:lang w:val="en-US"/>
        </w:rPr>
        <w:t xml:space="preserve"> </w:t>
      </w:r>
      <w:r w:rsidR="002A4638" w:rsidRPr="00DB6D42">
        <w:rPr>
          <w:lang w:val="en-US"/>
        </w:rPr>
        <w:t xml:space="preserve">study found PCR sensitivity to be sufficient </w:t>
      </w:r>
      <w:r w:rsidR="002A4638" w:rsidRPr="00DB6D42">
        <w:rPr>
          <w:rFonts w:cs="Arial"/>
          <w:szCs w:val="22"/>
          <w:lang w:val="en-US"/>
        </w:rPr>
        <w:t xml:space="preserve">as an indicator of </w:t>
      </w:r>
      <w:r w:rsidR="002A4638" w:rsidRPr="00DB6D42">
        <w:rPr>
          <w:lang w:val="en-US"/>
        </w:rPr>
        <w:t>therapeutic response</w:t>
      </w:r>
      <w:r w:rsidR="002A4638" w:rsidRPr="00DB6D42">
        <w:rPr>
          <w:rFonts w:cs="Arial"/>
          <w:szCs w:val="22"/>
          <w:lang w:val="en-US"/>
        </w:rPr>
        <w:t xml:space="preserve">, provided that the technique is standardized and multiple samples and serial examination are used for increased sensitivity. </w:t>
      </w:r>
      <w:r w:rsidR="002A4638" w:rsidRPr="00DB6D42">
        <w:rPr>
          <w:lang w:val="en-US"/>
        </w:rPr>
        <w:t xml:space="preserve">Other studies have also shown that </w:t>
      </w:r>
      <w:r w:rsidR="002A4638" w:rsidRPr="00DB6D42">
        <w:rPr>
          <w:rFonts w:cs="Arial"/>
          <w:color w:val="000000"/>
          <w:szCs w:val="22"/>
          <w:lang w:val="en-US"/>
        </w:rPr>
        <w:t xml:space="preserve">PCR is a useful tool for drug development, </w:t>
      </w:r>
      <w:r w:rsidR="002A4638" w:rsidRPr="00DB6D42">
        <w:rPr>
          <w:rFonts w:cs="Arial"/>
          <w:szCs w:val="22"/>
          <w:lang w:val="en-US"/>
        </w:rPr>
        <w:t>for revealing therapeutic failure on a short-term basis, and for the follow-up of patients after specific treatment</w:t>
      </w:r>
      <w:r w:rsidR="0027341A" w:rsidRPr="00DB6D42">
        <w:rPr>
          <w:rFonts w:cs="Arial"/>
          <w:szCs w:val="22"/>
          <w:lang w:val="en-US"/>
        </w:rPr>
        <w:t>.</w:t>
      </w:r>
      <w:r w:rsidR="00E41460" w:rsidRPr="00DB6D42">
        <w:rPr>
          <w:rFonts w:cs="Arial"/>
          <w:szCs w:val="22"/>
          <w:lang w:val="en-US"/>
        </w:rPr>
        <w:fldChar w:fldCharType="begin" w:fldLock="1"/>
      </w:r>
      <w:r w:rsidR="00091C3D" w:rsidRPr="00DB6D42">
        <w:rPr>
          <w:rFonts w:cs="Arial"/>
          <w:szCs w:val="22"/>
          <w:lang w:val="en-US"/>
        </w:rPr>
        <w:instrText>ADDIN CSL_CITATION { "citationItems" : [ { "id" : "ITEM-1", "itemData" : { "author" : [ { "dropping-particle" : "", "family" : "Castro AM", "given" : "", "non-dropping-particle" : "", "parse-names" : false, "suffix" : "" }, { "dropping-particle" : "", "family" : "AO", "given" : "Luquetti", "non-dropping-particle" : "", "parse-names" : false, "suffix" : "" }, { "dropping-particle" : "", "family" : "A", "given" : "Rassi", "non-dropping-particle" : "", "parse-names" : false, "suffix" : "" }, { "dropping-particle" : "", "family" : "GG", "given" : "Rassi", "non-dropping-particle" : "", "parse-names" : false, "suffix" : "" }, { "dropping-particle" : "", "family" : "E", "given" : "Chiari", "non-dropping-particle" : "", "parse-names" : false, "suffix" : "" }, { "dropping-particle" : "", "family" : "LM.", "given" : "Galvao", "non-dropping-particle" : "", "parse-names" : false, "suffix" : "" } ], "container-title" : "Parasitol Res", "id" : "ITEM-1", "issue" : "10", "issued" : { "date-parts" : [ [ "2002" ] ] }, "page" : "894-900", "title" : "Blood culture and polymerase chain reaction for the diagnosis of the chronic phase of human infection with Trypanosoma cruzi.", "type" : "article-journal", "volume" : "88" }, "uris" : [ "http://www.mendeley.com/documents/?uuid=92c67cec-83e6-44d2-9733-acf4c8ac6e72", "http://www.mendeley.com/documents/?uuid=a9bf131a-7df9-4a15-aa76-6291bac07187" ] }, { "id" : "ITEM-2", "itemData" : { "DOI" : "10.1371/journal.pntd.0002000", "ISSN" : "1935-2735", "PMID" : "23350002", "abstract" : "The analytical validation of sensitive, accurate and standardized Real-Time PCR methods for Trypanosoma cruzi quantification is crucial to provide a reliable laboratory tool for diagnosis of recent infections as well as for monitoring treatment efficacy.", "author" : [ { "dropping-particle" : "", "family" : "Duffy", "given" : "Tomas", "non-dropping-particle" : "", "parse-names" : false, "suffix" : "" }, { "dropping-particle" : "", "family" : "Cura", "given" : "Carolina I", "non-dropping-particle" : "", "parse-names" : false, "suffix" : "" }, { "dropping-particle" : "", "family" : "Ramirez", "given" : "Juan C", "non-dropping-particle" : "", "parse-names" : false, "suffix" : "" }, { "dropping-particle" : "", "family" : "Abate", "given" : "Teresa", "non-dropping-particle" : "", "parse-names" : false, "suffix" : "" }, { "dropping-particle" : "", "family" : "Cayo", "given" : "Nelly M", "non-dropping-particle" : "", "parse-names" : false, "suffix" : "" }, { "dropping-particle" : "", "family" : "Parrado", "given" : "Rudy", "non-dropping-particle" : "", "parse-names" : false, "suffix" : "" }, { "dropping-particle" : "", "family" : "Bello", "given" : "Zoraida Diaz", "non-dropping-particle" : "", "parse-names" : false, "suffix" : "" }, { "dropping-particle" : "", "family" : "Velazquez", "given" : "Elsa", "non-dropping-particle" : "", "parse-names" : false, "suffix" : "" }, { "dropping-particle" : "", "family" : "Mu\u00f1oz-Calderon", "given" : "Arturo", "non-dropping-particle" : "", "parse-names" : false, "suffix" : "" }, { "dropping-particle" : "", "family" : "Juiz", "given" : "Natalia a", "non-dropping-particle" : "", "parse-names" : false, "suffix" : "" }, { "dropping-particle" : "", "family" : "Basile", "given" : "Joaqu\u00edn", "non-dropping-particle" : "", "parse-names" : false, "suffix" : "" }, { "dropping-particle" : "", "family" : "Garcia", "given" : "Lineth", "non-dropping-particle" : "", "parse-names" : false, "suffix" : "" }, { "dropping-particle" : "", "family" : "Riarte", "given" : "Adelina", "non-dropping-particle" : "", "parse-names" : false, "suffix" : "" }, { "dropping-particle" : "", "family" : "Nasser", "given" : "Julio R", "non-dropping-particle" : "", "parse-names" : false, "suffix" : "" }, { "dropping-particle" : "", "family" : "Ocampo", "given" : "Susana B", "non-dropping-particle" : "", "parse-names" : false, "suffix" : "" }, { "dropping-particle" : "", "family" : "Yadon", "given" : "Zaida E", "non-dropping-particle" : "", "parse-names" : false, "suffix" : "" }, { "dropping-particle" : "", "family" : "Torrico", "given" : "Faustino", "non-dropping-particle" : "", "parse-names" : false, "suffix" : "" }, { "dropping-particle" : "", "family" : "Noya", "given" : "Belkisyole Alarc\u00f3n", "non-dropping-particle" : "de", "parse-names" : false, "suffix" : "" }, { "dropping-particle" : "", "family" : "Ribeiro", "given" : "Isabela", "non-dropping-particle" : "", "parse-names" : false, "suffix" : "" }, { "dropping-particle" : "", "family" : "Schijman", "given" : "Alejandro G", "non-dropping-particle" : "", "parse-names" : false, "suffix" : "" } ], "container-title" : "PLoS neglected tropical diseases", "id" : "ITEM-2", "issue" : "1", "issued" : { "date-parts" : [ [ "2013", "1" ] ] }, "page" : "e2000", "title" : "Analytical performance of a multiplex Real-Time PCR assay using TaqMan probes for quantification of Trypanosoma cruzi satellite DNA in blood samples.", "type" : "article-journal", "volume" : "7" }, "uris" : [ "http://www.mendeley.com/documents/?uuid=e46b32c0-3a46-4f56-a76b-80004a2f8359", "http://www.mendeley.com/documents/?uuid=5bf97f7c-6f6d-4ff6-9dbb-933dec38460b" ] }, { "id" : "ITEM-3", "itemData" : { "DOI" : "10.1128/JCM.41.11.5066", "ISBN" : "5562202794", "author" : [ { "dropping-particle" : "", "family" : "Galv\u00e3o", "given" : "L\u00facia M C", "non-dropping-particle" : "", "parse-names" : false, "suffix" : "" }, { "dropping-particle" : "", "family" : "Chiari", "given" : "Egler", "non-dropping-particle" : "", "parse-names" : false, "suffix" : "" }, { "dropping-particle" : "", "family" : "Macedo", "given" : "Andr\u00e9a M", "non-dropping-particle" : "", "parse-names" : false, "suffix" : "" }, { "dropping-particle" : "", "family" : "Luquetti", "given" : "Alejandro O", "non-dropping-particle" : "", "parse-names" : false, "suffix" : "" }, { "dropping-particle" : "", "family" : "Silva", "given" : "Simonne A", "non-dropping-particle" : "", "parse-names" : false, "suffix" : "" }, { "dropping-particle" : "", "family" : "Andrade", "given" : "Ana L\u00facia SS", "non-dropping-particle" : "", "parse-names" : false, "suffix" : "" } ], "container-title" : "J Clin Microbiol", "id" : "ITEM-3", "issue" : "11", "issued" : { "date-parts" : [ [ "2003" ] ] }, "page" : "5066", "title" : "PCR Assay for Monitoring Trypanosoma cruzi Parasitemia in Childhood after Specific Chemotherapy PCR Assay for Monitoring Trypanosoma cruzi Parasitemia in Childhood after Specific Chemotherapy", "type" : "article-journal", "volume" : "41" }, "uris" : [ "http://www.mendeley.com/documents/?uuid=a96e6409-2dec-40da-a70e-8dab54120a6d", "http://www.mendeley.com/documents/?uuid=4eef634a-9364-435b-a4a4-ab92088baf7a" ] }, { "id" : "ITEM-4", "itemData" : { "DOI" : "10.1016/j.actatropica.2012.08.020", "ISSN" : "1873-6254", "PMID" : "22982466", "abstract" : "Quantitative real-time PCR (qPCR) is an accurate method to quantify Trypanosoma cruzi DNA and can be used to follow-up parasitemia in Chagas disease (CD) patients undergoing chemotherapy. The Benznidazole Evaluation for Interrupting Trypanosomiasis (BENEFIT) study is an international, multicenter, randomized, double-blinded and placebo-controlled clinical trial to evaluate the efficacy of benznidazole (BZ) treatment in patients with chronic Chagas cardiomyopathy (CCC). One important question to be addressed concerns the effectiveness of BZ in reducing overall parasite load in CCC patients, even in the absence of parasitological cure. This report describes the evaluation of multiple procedures for DNA extraction and qPCR-based protocols aiming to establish a standardized methodology for the absolute quantification of T. cruzi DNA in Guanidine-EDTA blood (GEB) samples. A panel of five primer sets directed to the T. cruzi nuclear satellite DNA repeats (Sat-DNA) and to the minicircle DNA conserved regions (kDNA) was compared in either SYBR Green or TaqMan systems. Standard curve parameters such as, amplification efficiency, coefficient of determination and intercept were evaluated, as well as different procedures to generate standard samples containing pre-established T. cruzi DNA concentration. Initially, each primer set was assayed in a SYBR Green qPCR to estimate parasite load in GEB samples from chronic Chagas disease patients. The results achieved from Bayesian transmutability analysis elected the primer sets Cruzi1/Cruzi2 (p=0.0031) and Diaz7/Diaz8 (p=0.0023) coupled to the QIAamp DNA Kit extraction protocol (silica gel column), as the most suitable for monitoring parasitemia in these patients. Comparison between the parasite burden of 150 GEB samples of BENEFIT patients from Argentina, Brazil and Colombia, prior to drug/placebo administration, was performed using Cruzi1/Cruzi2 primers in a SYBR Green approach. The median parasitemia found in patients from Argentina and Colombia (1.93 and 2.31 parasite equivalents/mL, respectively) was around 20 times higher than the one estimated for the Brazilian patients (0.1 parasite equivalents/mL). This difference could be in part due to the complexity of T. cruzi genetic diversity, which is a factor possibly implicated in different clinical presentations of the disease and/or influencing parasitemia levels in infected individuals from different regions of Latin America. The results of SYBR Green qPCR assays her\u2026", "author" : [ { "dropping-particle" : "", "family" : "Moreira", "given" : "Otacilio C", "non-dropping-particle" : "", "parse-names" : false, "suffix" : "" }, { "dropping-particle" : "", "family" : "Ram\u00edrez", "given" : "Juan David", "non-dropping-particle" : "", "parse-names" : false, "suffix" : "" }, { "dropping-particle" : "", "family" : "Vel\u00e1zquez", "given" : "Elsa", "non-dropping-particle" : "", "parse-names" : false, "suffix" : "" }, { "dropping-particle" : "", "family" : "Melo", "given" : "Myllena F a Dias", "non-dropping-particle" : "", "parse-names" : false, "suffix" : "" }, { "dropping-particle" : "", "family" : "Lima-Ferreira", "given" : "Carolina", "non-dropping-particle" : "", "parse-names" : false, "suffix" : "" }, { "dropping-particle" : "", "family" : "Guhl", "given" : "Felipe", "non-dropping-particle" : "", "parse-names" : false, "suffix" : "" }, { "dropping-particle" : "", "family" : "Sosa-Estani", "given" : "Sergio", "non-dropping-particle" : "", "parse-names" : false, "suffix" : "" }, { "dropping-particle" : "", "family" : "Marin-Neto", "given" : "Jose Antonio", "non-dropping-particle" : "", "parse-names" : false, "suffix" : "" }, { "dropping-particle" : "", "family" : "Morillo", "given" : "Carlos a", "non-dropping-particle" : "", "parse-names" : false, "suffix" : "" }, { "dropping-particle" : "", "family" : "Britto", "given" : "Constan\u00e7a", "non-dropping-particle" : "", "parse-names" : false, "suffix" : "" } ], "container-title" : "Acta tropica", "id" : "ITEM-4", "issue" : "1", "issued" : { "date-parts" : [ [ "2013", "1" ] ] }, "page" : "23-31", "title" : "Towards the establishment of a consensus real-time qPCR to monitor Trypanosoma cruzi parasitemia in patients with chronic Chagas disease cardiomyopathy: a substudy from the BENEFIT trial.", "type" : "article-journal", "volume" : "125" }, "uris" : [ "http://www.mendeley.com/documents/?uuid=64d4b825-7951-4428-aba8-01c25ff4e5bd", "http://www.mendeley.com/documents/?uuid=20c8dfd8-69c7-4a26-b46e-2d3e5c9deb8b" ] }, { "id" : "ITEM-5", "itemData" : { "DOI" : "dkq201 [pii] 10.1093/jac/dkq201", "ISBN" : "1460-2091 (Electronic) 0305-7453 (Linking)", "PMID" : "20542903", "abstract" : "OBJECTIVES: This prospective study focused on the evaluation of antiparasitic therapy in chronic Chagas' disease, monitored by PCR. PATIENTS AND METHODS: One hundred and eighty-one patients, all seropositive for Trypanosoma cruzi infection, underwent specific chemotherapy with benznidazole. Twelve patients were classified as young (2-19 years), 122 patients were classified as adults (20-39 years) and 47 patients were classified as seniors (&gt;or=40 years). In total, 116 (64%) were asymptomatic and 65 (36%) were symptomatic. Patients were monitored for 90, 150 and 420 days after treatment by PCR and serology. RESULTS: Before treatment, 68% had a positive PCR result. PCR positivity was significantly more frequent in patients aged 2-19 years (P = 0.0007) and in short-term immigrants (P = 0.0076). No differences in PCR sensitivity were observed between samples of patients with chronic symptomatic or indeterminate Chagas' disease. All patients presented an early conversion of PCR results 90 days post-treatment. However, at the end of the follow-up period PCR had become positive in four patients (4 out of 58 patients; 6.9%) who had strictly adhered to the treatment and in one who did not complete the treatment. Only one patient showed an alternating PCR during follow-up. CONCLUSIONS: We conclude that PCR is a useful tool for the early detection of parasite susceptibility to benznidazole and for the post-treatment parasitological follow-up of patients with chronic Chagas' disease.", "author" : [ { "dropping-particle" : "", "family" : "Murcia", "given" : "L", "non-dropping-particle" : "", "parse-names" : false, "suffix" : "" }, { "dropping-particle" : "", "family" : "Carrilero", "given" : "B", "non-dropping-particle" : "", "parse-names" : false, "suffix" : "" }, { "dropping-particle" : "", "family" : "Munoz", "given" : "M J", "non-dropping-particle" : "", "parse-names" : false, "suffix" : "" }, { "dropping-particle" : "", "family" : "Iborra", "given" : "M A", "non-dropping-particle" : "", "parse-names" : false, "suffix" : "" }, { "dropping-particle" : "", "family" : "Segovia", "given" : "M", "non-dropping-particle" : "", "parse-names" : false, "suffix" : "" } ], "container-title" : "J Antimicrob Chemother", "edition" : "2010/06/15", "id" : "ITEM-5", "issue" : "8", "issued" : { "date-parts" : [ [ "2010" ] ] }, "language" : "eng", "page" : "1759-1764", "title" : "Usefulness of PCR for monitoring benznidazole response in patients with chronic Chagas' disease: a prospective study in a non-disease-endemic country", "type" : "article-journal", "volume" : "65" }, "uris" : [ "http://www.mendeley.com/documents/?uuid=39cc8032-5bee-4c5f-b80d-56fdd6d305bd", "http://www.mendeley.com/documents/?uuid=bfa2e7b7-8b8b-44e8-b253-274fd64bc0e5" ] } ], "mendeley" : { "formattedCitation" : "&lt;sup&gt;9,24,39\u201341&lt;/sup&gt;", "manualFormatting" : "6,15,3229,30", "plainTextFormattedCitation" : "9,24,39\u201341", "previouslyFormattedCitation" : "&lt;sup&gt;9,24,39\u201341&lt;/sup&gt;" }, "properties" : { "noteIndex" : 0 }, "schema" : "https://github.com/citation-style-language/schema/raw/master/csl-citation.json" }</w:instrText>
      </w:r>
      <w:r w:rsidR="00E41460" w:rsidRPr="00DB6D42">
        <w:rPr>
          <w:rFonts w:cs="Arial"/>
          <w:szCs w:val="22"/>
          <w:lang w:val="en-US"/>
        </w:rPr>
        <w:fldChar w:fldCharType="separate"/>
      </w:r>
      <w:r w:rsidR="00610C41" w:rsidRPr="00DB6D42">
        <w:rPr>
          <w:rFonts w:cs="Arial"/>
          <w:noProof/>
          <w:szCs w:val="22"/>
          <w:vertAlign w:val="superscript"/>
          <w:lang w:val="en-US"/>
        </w:rPr>
        <w:t>5</w:t>
      </w:r>
      <w:r w:rsidR="00027D04" w:rsidRPr="00DB6D42">
        <w:rPr>
          <w:rFonts w:cs="Arial"/>
          <w:noProof/>
          <w:szCs w:val="22"/>
          <w:vertAlign w:val="superscript"/>
          <w:lang w:val="en-US"/>
        </w:rPr>
        <w:t>,</w:t>
      </w:r>
      <w:r w:rsidR="00EB0697" w:rsidRPr="00DB6D42">
        <w:rPr>
          <w:rFonts w:cs="Arial"/>
          <w:noProof/>
          <w:szCs w:val="22"/>
          <w:vertAlign w:val="superscript"/>
          <w:lang w:val="en-US"/>
        </w:rPr>
        <w:t>1</w:t>
      </w:r>
      <w:r w:rsidR="000C4EF7" w:rsidRPr="00DB6D42">
        <w:rPr>
          <w:rFonts w:cs="Arial"/>
          <w:noProof/>
          <w:szCs w:val="22"/>
          <w:vertAlign w:val="superscript"/>
          <w:lang w:val="en-US"/>
        </w:rPr>
        <w:t>3</w:t>
      </w:r>
      <w:r w:rsidR="00610C41" w:rsidRPr="00DB6D42">
        <w:rPr>
          <w:rFonts w:cs="Arial"/>
          <w:noProof/>
          <w:szCs w:val="22"/>
          <w:vertAlign w:val="superscript"/>
          <w:lang w:val="en-US"/>
        </w:rPr>
        <w:t>,</w:t>
      </w:r>
      <w:r w:rsidR="00091C3D" w:rsidRPr="00DB6D42">
        <w:rPr>
          <w:rFonts w:cs="Arial"/>
          <w:noProof/>
          <w:szCs w:val="22"/>
          <w:vertAlign w:val="superscript"/>
          <w:lang w:val="en-US"/>
        </w:rPr>
        <w:t>2</w:t>
      </w:r>
      <w:r w:rsidR="00610C41" w:rsidRPr="00DB6D42">
        <w:rPr>
          <w:rFonts w:cs="Arial"/>
          <w:noProof/>
          <w:szCs w:val="22"/>
          <w:vertAlign w:val="superscript"/>
          <w:lang w:val="en-US"/>
        </w:rPr>
        <w:t>9</w:t>
      </w:r>
      <w:r w:rsidR="00EB0697" w:rsidRPr="00DB6D42">
        <w:rPr>
          <w:rFonts w:cs="Arial"/>
          <w:noProof/>
          <w:szCs w:val="22"/>
          <w:vertAlign w:val="superscript"/>
          <w:lang w:val="en-US"/>
        </w:rPr>
        <w:t>,</w:t>
      </w:r>
      <w:r w:rsidR="00610C41" w:rsidRPr="00DB6D42">
        <w:rPr>
          <w:rFonts w:cs="Arial"/>
          <w:noProof/>
          <w:szCs w:val="22"/>
          <w:vertAlign w:val="superscript"/>
          <w:lang w:val="en-US"/>
        </w:rPr>
        <w:t>30</w:t>
      </w:r>
      <w:r w:rsidR="00E41460" w:rsidRPr="00DB6D42">
        <w:rPr>
          <w:rFonts w:cs="Arial"/>
          <w:szCs w:val="22"/>
          <w:lang w:val="en-US"/>
        </w:rPr>
        <w:fldChar w:fldCharType="end"/>
      </w:r>
      <w:r w:rsidR="007F3F1D" w:rsidRPr="00DB6D42">
        <w:rPr>
          <w:rFonts w:cs="Arial"/>
          <w:szCs w:val="22"/>
          <w:lang w:val="en-US"/>
        </w:rPr>
        <w:t xml:space="preserve"> However, a negative PCR does not exclude the presence of parasite in tissues or circulating in levels below those of detection</w:t>
      </w:r>
      <w:r w:rsidR="00C512DA" w:rsidRPr="00DB6D42">
        <w:rPr>
          <w:rFonts w:cs="Arial"/>
          <w:szCs w:val="22"/>
          <w:lang w:val="en-US"/>
        </w:rPr>
        <w:t xml:space="preserve"> and there is a need for long term follow-up </w:t>
      </w:r>
      <w:r w:rsidR="007F3F1D" w:rsidRPr="00DB6D42">
        <w:rPr>
          <w:rFonts w:cs="Arial"/>
          <w:szCs w:val="22"/>
          <w:lang w:val="en-US"/>
        </w:rPr>
        <w:t>data correlating PCR</w:t>
      </w:r>
      <w:r w:rsidR="00C512DA" w:rsidRPr="00DB6D42">
        <w:rPr>
          <w:rFonts w:cs="Arial"/>
          <w:szCs w:val="22"/>
          <w:lang w:val="en-US"/>
        </w:rPr>
        <w:t xml:space="preserve"> </w:t>
      </w:r>
      <w:r w:rsidR="007F3F1D" w:rsidRPr="00DB6D42">
        <w:rPr>
          <w:rFonts w:cs="Arial"/>
          <w:szCs w:val="22"/>
          <w:lang w:val="en-US"/>
        </w:rPr>
        <w:t xml:space="preserve">with clinical benefit. </w:t>
      </w:r>
    </w:p>
    <w:p w14:paraId="6942F81E" w14:textId="3DA27EB2" w:rsidR="002A4638" w:rsidRPr="00DB6D42" w:rsidRDefault="00A929E6" w:rsidP="00BB5FF5">
      <w:pPr>
        <w:pStyle w:val="desc"/>
        <w:shd w:val="clear" w:color="auto" w:fill="FFFFFF"/>
        <w:spacing w:before="0" w:beforeAutospacing="0" w:after="0" w:afterAutospacing="0" w:line="360" w:lineRule="auto"/>
        <w:jc w:val="both"/>
        <w:rPr>
          <w:rFonts w:ascii="Arial" w:hAnsi="Arial"/>
          <w:sz w:val="22"/>
          <w:lang w:val="en-US" w:eastAsia="ja-JP"/>
        </w:rPr>
      </w:pPr>
      <w:r w:rsidRPr="00DB6D42">
        <w:rPr>
          <w:rFonts w:ascii="Arial" w:hAnsi="Arial"/>
          <w:sz w:val="22"/>
          <w:lang w:val="en-US" w:eastAsia="ja-JP"/>
        </w:rPr>
        <w:lastRenderedPageBreak/>
        <w:t xml:space="preserve">In conclusion, this </w:t>
      </w:r>
      <w:r w:rsidR="0045108A" w:rsidRPr="00DB6D42">
        <w:rPr>
          <w:rFonts w:ascii="Arial" w:hAnsi="Arial"/>
          <w:sz w:val="22"/>
          <w:lang w:val="en-US" w:eastAsia="ja-JP"/>
        </w:rPr>
        <w:t>adequate and well</w:t>
      </w:r>
      <w:r w:rsidR="00C961AE" w:rsidRPr="00DB6D42">
        <w:rPr>
          <w:rFonts w:ascii="Arial" w:hAnsi="Arial"/>
          <w:sz w:val="22"/>
          <w:lang w:val="en-US" w:eastAsia="ja-JP"/>
        </w:rPr>
        <w:t>-</w:t>
      </w:r>
      <w:r w:rsidR="0045108A" w:rsidRPr="00DB6D42">
        <w:rPr>
          <w:rFonts w:ascii="Arial" w:hAnsi="Arial"/>
          <w:sz w:val="22"/>
          <w:lang w:val="en-US" w:eastAsia="ja-JP"/>
        </w:rPr>
        <w:t xml:space="preserve">controlled </w:t>
      </w:r>
      <w:r w:rsidRPr="00DB6D42">
        <w:rPr>
          <w:rFonts w:ascii="Arial" w:hAnsi="Arial"/>
          <w:sz w:val="22"/>
          <w:lang w:val="en-US" w:eastAsia="ja-JP"/>
        </w:rPr>
        <w:t xml:space="preserve">study provides information on the first new chemical entity to be developed for </w:t>
      </w:r>
      <w:r w:rsidR="008232E5" w:rsidRPr="00DB6D42">
        <w:rPr>
          <w:rFonts w:ascii="Arial" w:hAnsi="Arial"/>
          <w:sz w:val="22"/>
          <w:lang w:val="en-US" w:eastAsia="ja-JP"/>
        </w:rPr>
        <w:t>CD</w:t>
      </w:r>
      <w:r w:rsidRPr="00DB6D42">
        <w:rPr>
          <w:rFonts w:ascii="Arial" w:hAnsi="Arial"/>
          <w:sz w:val="22"/>
          <w:lang w:val="en-US" w:eastAsia="ja-JP"/>
        </w:rPr>
        <w:t xml:space="preserve"> in over </w:t>
      </w:r>
      <w:r w:rsidR="00BD7871" w:rsidRPr="00DB6D42">
        <w:rPr>
          <w:rFonts w:ascii="Arial" w:hAnsi="Arial"/>
          <w:sz w:val="22"/>
          <w:lang w:val="en-US" w:eastAsia="ja-JP"/>
        </w:rPr>
        <w:t>three</w:t>
      </w:r>
      <w:r w:rsidRPr="00DB6D42">
        <w:rPr>
          <w:rFonts w:ascii="Arial" w:hAnsi="Arial"/>
          <w:sz w:val="22"/>
          <w:lang w:val="en-US" w:eastAsia="ja-JP"/>
        </w:rPr>
        <w:t xml:space="preserve"> decade</w:t>
      </w:r>
      <w:r w:rsidR="005F257F" w:rsidRPr="00DB6D42">
        <w:rPr>
          <w:rFonts w:ascii="Arial" w:hAnsi="Arial"/>
          <w:sz w:val="22"/>
          <w:lang w:val="en-US" w:eastAsia="ja-JP"/>
        </w:rPr>
        <w:t>s</w:t>
      </w:r>
      <w:r w:rsidRPr="00DB6D42">
        <w:rPr>
          <w:rFonts w:ascii="Arial" w:hAnsi="Arial"/>
          <w:sz w:val="22"/>
          <w:lang w:val="en-US" w:eastAsia="ja-JP"/>
        </w:rPr>
        <w:t>. E1224 displayed a transient, suppressive effect, whilst BZN showed early and sustained efficacy</w:t>
      </w:r>
      <w:r w:rsidR="004F499D" w:rsidRPr="00DB6D42">
        <w:rPr>
          <w:rFonts w:ascii="Arial" w:hAnsi="Arial"/>
          <w:sz w:val="22"/>
          <w:lang w:val="en-US" w:eastAsia="ja-JP"/>
        </w:rPr>
        <w:t xml:space="preserve"> by PCR and AT</w:t>
      </w:r>
      <w:r w:rsidR="00356AFC" w:rsidRPr="00DB6D42">
        <w:rPr>
          <w:rFonts w:ascii="Arial" w:hAnsi="Arial"/>
          <w:sz w:val="22"/>
          <w:lang w:val="en-US" w:eastAsia="ja-JP"/>
        </w:rPr>
        <w:t xml:space="preserve"> CL-</w:t>
      </w:r>
      <w:r w:rsidR="004F499D" w:rsidRPr="00DB6D42">
        <w:rPr>
          <w:rFonts w:ascii="Arial" w:hAnsi="Arial"/>
          <w:sz w:val="22"/>
          <w:lang w:val="en-US" w:eastAsia="ja-JP"/>
        </w:rPr>
        <w:t>ELISA</w:t>
      </w:r>
      <w:r w:rsidRPr="00DB6D42">
        <w:rPr>
          <w:rFonts w:ascii="Arial" w:hAnsi="Arial"/>
          <w:sz w:val="22"/>
          <w:lang w:val="en-US" w:eastAsia="ja-JP"/>
        </w:rPr>
        <w:t>. These results provide support to scaling up of diagnosis and access to standard regimen</w:t>
      </w:r>
      <w:r w:rsidR="0045108A" w:rsidRPr="00DB6D42">
        <w:rPr>
          <w:rFonts w:ascii="Arial" w:hAnsi="Arial"/>
          <w:sz w:val="22"/>
          <w:lang w:val="en-US" w:eastAsia="ja-JP"/>
        </w:rPr>
        <w:t>s of BZN</w:t>
      </w:r>
      <w:r w:rsidRPr="00DB6D42">
        <w:rPr>
          <w:rFonts w:ascii="Arial" w:hAnsi="Arial"/>
          <w:sz w:val="22"/>
          <w:lang w:val="en-US" w:eastAsia="ja-JP"/>
        </w:rPr>
        <w:t xml:space="preserve">, and provide a roadmap for the development </w:t>
      </w:r>
      <w:r w:rsidR="0045108A" w:rsidRPr="00DB6D42">
        <w:rPr>
          <w:rFonts w:ascii="Arial" w:hAnsi="Arial"/>
          <w:sz w:val="22"/>
          <w:lang w:val="en-US" w:eastAsia="ja-JP"/>
        </w:rPr>
        <w:t xml:space="preserve">and registration </w:t>
      </w:r>
      <w:r w:rsidRPr="00DB6D42">
        <w:rPr>
          <w:rFonts w:ascii="Arial" w:hAnsi="Arial"/>
          <w:sz w:val="22"/>
          <w:lang w:val="en-US" w:eastAsia="ja-JP"/>
        </w:rPr>
        <w:t xml:space="preserve">of novel, alternative treatment regimens of BZN in monotherapy and in combinations with E1224 for the treatment of </w:t>
      </w:r>
      <w:r w:rsidR="0045108A" w:rsidRPr="00DB6D42">
        <w:rPr>
          <w:rFonts w:ascii="Arial" w:hAnsi="Arial"/>
          <w:sz w:val="22"/>
          <w:lang w:val="en-US" w:eastAsia="ja-JP"/>
        </w:rPr>
        <w:t xml:space="preserve">adults with </w:t>
      </w:r>
      <w:r w:rsidRPr="00DB6D42">
        <w:rPr>
          <w:rFonts w:ascii="Arial" w:hAnsi="Arial"/>
          <w:sz w:val="22"/>
          <w:lang w:val="en-US" w:eastAsia="ja-JP"/>
        </w:rPr>
        <w:t xml:space="preserve">chronic indeterminate </w:t>
      </w:r>
      <w:r w:rsidR="008232E5" w:rsidRPr="00DB6D42">
        <w:rPr>
          <w:rFonts w:ascii="Arial" w:hAnsi="Arial"/>
          <w:sz w:val="22"/>
          <w:lang w:val="en-US" w:eastAsia="ja-JP"/>
        </w:rPr>
        <w:t>CD</w:t>
      </w:r>
      <w:r w:rsidRPr="00DB6D42">
        <w:rPr>
          <w:rFonts w:ascii="Arial" w:hAnsi="Arial"/>
          <w:sz w:val="22"/>
          <w:lang w:val="en-US" w:eastAsia="ja-JP"/>
        </w:rPr>
        <w:t>.</w:t>
      </w:r>
    </w:p>
    <w:p w14:paraId="493582DF" w14:textId="77777777" w:rsidR="002F28B5" w:rsidRPr="00DB6D42" w:rsidRDefault="002F28B5" w:rsidP="00BB5FF5">
      <w:pPr>
        <w:spacing w:after="0"/>
        <w:rPr>
          <w:rFonts w:ascii="Times New Roman" w:hAnsi="Times New Roman" w:cs="Arial"/>
          <w:bCs/>
          <w:i/>
          <w:color w:val="000000"/>
          <w:sz w:val="24"/>
          <w:szCs w:val="22"/>
          <w:lang w:val="en-US" w:eastAsia="es-ES"/>
        </w:rPr>
      </w:pPr>
      <w:r w:rsidRPr="00DB6D42">
        <w:rPr>
          <w:rFonts w:cs="Arial"/>
          <w:bCs/>
          <w:i/>
          <w:color w:val="000000"/>
          <w:szCs w:val="22"/>
          <w:lang w:val="en-US"/>
        </w:rPr>
        <w:br w:type="page"/>
      </w:r>
    </w:p>
    <w:p w14:paraId="6A36E85C" w14:textId="77777777" w:rsidR="00C3718F" w:rsidRPr="00DB6D42" w:rsidRDefault="00C3718F" w:rsidP="00BB5FF5">
      <w:pPr>
        <w:spacing w:before="80" w:after="80" w:line="360" w:lineRule="auto"/>
        <w:jc w:val="both"/>
        <w:rPr>
          <w:b/>
          <w:lang w:val="en-US"/>
        </w:rPr>
      </w:pPr>
      <w:r w:rsidRPr="00DB6D42">
        <w:rPr>
          <w:b/>
          <w:lang w:val="en-US"/>
        </w:rPr>
        <w:lastRenderedPageBreak/>
        <w:t>E1224 Study Group:</w:t>
      </w:r>
    </w:p>
    <w:p w14:paraId="577CFB4B" w14:textId="77777777" w:rsidR="00B87A5B" w:rsidRPr="00DB6D42" w:rsidRDefault="00E41460" w:rsidP="00BB5FF5">
      <w:pPr>
        <w:spacing w:before="80" w:after="80"/>
        <w:jc w:val="both"/>
        <w:rPr>
          <w:rFonts w:cs="Arial"/>
          <w:szCs w:val="22"/>
        </w:rPr>
      </w:pPr>
      <w:r w:rsidRPr="00DB6D42">
        <w:rPr>
          <w:rFonts w:cs="Arial"/>
          <w:szCs w:val="22"/>
        </w:rPr>
        <w:t xml:space="preserve">DNDi: </w:t>
      </w:r>
      <w:r w:rsidRPr="00DB6D42">
        <w:rPr>
          <w:rFonts w:cs="Arial"/>
          <w:szCs w:val="22"/>
        </w:rPr>
        <w:tab/>
      </w:r>
      <w:proofErr w:type="spellStart"/>
      <w:r w:rsidRPr="00DB6D42">
        <w:rPr>
          <w:rFonts w:cs="Arial"/>
          <w:szCs w:val="22"/>
        </w:rPr>
        <w:t>Glaucia</w:t>
      </w:r>
      <w:proofErr w:type="spellEnd"/>
      <w:r w:rsidRPr="00DB6D42">
        <w:rPr>
          <w:rFonts w:cs="Arial"/>
          <w:szCs w:val="22"/>
        </w:rPr>
        <w:t xml:space="preserve"> Santina, Bethania Blum, Erika Correia</w:t>
      </w:r>
      <w:r w:rsidR="006F2D31" w:rsidRPr="00DB6D42">
        <w:rPr>
          <w:rFonts w:cs="Arial"/>
          <w:szCs w:val="22"/>
        </w:rPr>
        <w:t>.</w:t>
      </w:r>
    </w:p>
    <w:p w14:paraId="70C15F55" w14:textId="32965293" w:rsidR="00506E0C" w:rsidRPr="00DB6D42" w:rsidRDefault="00FD468F" w:rsidP="00BB5FF5">
      <w:pPr>
        <w:spacing w:before="80" w:after="80"/>
        <w:jc w:val="both"/>
        <w:rPr>
          <w:rFonts w:cs="Arial"/>
          <w:szCs w:val="22"/>
        </w:rPr>
      </w:pPr>
      <w:proofErr w:type="spellStart"/>
      <w:r w:rsidRPr="00DB6D42">
        <w:rPr>
          <w:rFonts w:cs="Arial"/>
          <w:szCs w:val="22"/>
        </w:rPr>
        <w:t>ISGlobal</w:t>
      </w:r>
      <w:proofErr w:type="spellEnd"/>
      <w:r w:rsidR="00E41460" w:rsidRPr="00DB6D42">
        <w:rPr>
          <w:rFonts w:cs="Arial"/>
          <w:szCs w:val="22"/>
        </w:rPr>
        <w:t xml:space="preserve">: Luis </w:t>
      </w:r>
      <w:proofErr w:type="spellStart"/>
      <w:r w:rsidR="00E41460" w:rsidRPr="00DB6D42">
        <w:rPr>
          <w:rFonts w:cs="Arial"/>
          <w:szCs w:val="22"/>
        </w:rPr>
        <w:t>Izquierdo</w:t>
      </w:r>
      <w:proofErr w:type="spellEnd"/>
      <w:r w:rsidR="00E41460" w:rsidRPr="00DB6D42">
        <w:rPr>
          <w:rFonts w:cs="Arial"/>
          <w:szCs w:val="22"/>
        </w:rPr>
        <w:t>, Silvia Sanz</w:t>
      </w:r>
      <w:r w:rsidR="006F2D31" w:rsidRPr="00DB6D42">
        <w:rPr>
          <w:rFonts w:cs="Arial"/>
          <w:szCs w:val="22"/>
        </w:rPr>
        <w:t>.</w:t>
      </w:r>
    </w:p>
    <w:p w14:paraId="45734015" w14:textId="77777777" w:rsidR="00506E0C" w:rsidRPr="00DB6D42" w:rsidRDefault="00E41460" w:rsidP="00BB5FF5">
      <w:pPr>
        <w:spacing w:before="80" w:after="80"/>
        <w:jc w:val="both"/>
        <w:rPr>
          <w:rFonts w:cs="Arial"/>
          <w:szCs w:val="22"/>
          <w:lang w:val="en-US"/>
        </w:rPr>
      </w:pPr>
      <w:r w:rsidRPr="00DB6D42">
        <w:rPr>
          <w:rFonts w:cs="Arial"/>
          <w:szCs w:val="22"/>
          <w:lang w:val="en-US"/>
        </w:rPr>
        <w:t>HOSPITAL CLINIC BARCELONA (BARCELONA, SPAIN): Joa</w:t>
      </w:r>
      <w:r w:rsidR="00A02C2C" w:rsidRPr="00DB6D42">
        <w:rPr>
          <w:rFonts w:cs="Arial"/>
          <w:szCs w:val="22"/>
          <w:lang w:val="en-US"/>
        </w:rPr>
        <w:t xml:space="preserve">n C. </w:t>
      </w:r>
      <w:proofErr w:type="spellStart"/>
      <w:r w:rsidR="00A02C2C" w:rsidRPr="00DB6D42">
        <w:rPr>
          <w:rFonts w:cs="Arial"/>
          <w:szCs w:val="22"/>
          <w:lang w:val="en-US"/>
        </w:rPr>
        <w:t>Reverter</w:t>
      </w:r>
      <w:proofErr w:type="spellEnd"/>
      <w:r w:rsidR="00A02C2C" w:rsidRPr="00DB6D42">
        <w:rPr>
          <w:rFonts w:cs="Arial"/>
          <w:szCs w:val="22"/>
          <w:lang w:val="en-US"/>
        </w:rPr>
        <w:t xml:space="preserve">, Manuel Morales, </w:t>
      </w:r>
      <w:proofErr w:type="spellStart"/>
      <w:r w:rsidRPr="00DB6D42">
        <w:rPr>
          <w:rFonts w:cs="Arial"/>
          <w:szCs w:val="22"/>
          <w:lang w:val="en-US"/>
        </w:rPr>
        <w:t>Wladimiro</w:t>
      </w:r>
      <w:proofErr w:type="spellEnd"/>
      <w:r w:rsidRPr="00DB6D42">
        <w:rPr>
          <w:rFonts w:cs="Arial"/>
          <w:szCs w:val="22"/>
          <w:lang w:val="en-US"/>
        </w:rPr>
        <w:t xml:space="preserve"> Jimenez.</w:t>
      </w:r>
    </w:p>
    <w:p w14:paraId="716E375F" w14:textId="77777777" w:rsidR="008C7C3F" w:rsidRPr="00DB6D42" w:rsidRDefault="00E41460" w:rsidP="00BB5FF5">
      <w:pPr>
        <w:autoSpaceDE w:val="0"/>
        <w:autoSpaceDN w:val="0"/>
        <w:adjustRightInd w:val="0"/>
        <w:spacing w:before="80" w:after="80"/>
        <w:jc w:val="both"/>
        <w:rPr>
          <w:rFonts w:cs="Arial"/>
          <w:szCs w:val="22"/>
        </w:rPr>
      </w:pPr>
      <w:r w:rsidRPr="00DB6D42">
        <w:rPr>
          <w:rFonts w:cs="Arial"/>
          <w:szCs w:val="22"/>
        </w:rPr>
        <w:t xml:space="preserve">CEADES </w:t>
      </w:r>
      <w:r w:rsidR="008C7C3F" w:rsidRPr="00DB6D42">
        <w:rPr>
          <w:rFonts w:cs="Arial"/>
          <w:szCs w:val="22"/>
        </w:rPr>
        <w:t xml:space="preserve">– </w:t>
      </w:r>
      <w:r w:rsidRPr="00DB6D42">
        <w:rPr>
          <w:rFonts w:cs="Arial"/>
          <w:szCs w:val="22"/>
        </w:rPr>
        <w:t>Platform for Comprehensive Care of Patients with Chagas Disease, Bolivia</w:t>
      </w:r>
      <w:r w:rsidR="008C7C3F" w:rsidRPr="00DB6D42">
        <w:rPr>
          <w:rFonts w:cs="Arial"/>
          <w:szCs w:val="22"/>
        </w:rPr>
        <w:t>.</w:t>
      </w:r>
    </w:p>
    <w:p w14:paraId="2C4F3E3C" w14:textId="77777777" w:rsidR="008C7C3F" w:rsidRPr="00DB6D42" w:rsidRDefault="00E41460" w:rsidP="00BB5FF5">
      <w:pPr>
        <w:autoSpaceDE w:val="0"/>
        <w:autoSpaceDN w:val="0"/>
        <w:adjustRightInd w:val="0"/>
        <w:spacing w:before="80" w:after="80"/>
        <w:jc w:val="both"/>
        <w:rPr>
          <w:rFonts w:cs="Arial"/>
          <w:szCs w:val="22"/>
        </w:rPr>
      </w:pPr>
      <w:r w:rsidRPr="00DB6D42">
        <w:rPr>
          <w:rFonts w:cs="Arial"/>
          <w:szCs w:val="22"/>
        </w:rPr>
        <w:t xml:space="preserve">Cochabamba: Roxana </w:t>
      </w:r>
      <w:proofErr w:type="spellStart"/>
      <w:r w:rsidRPr="00DB6D42">
        <w:rPr>
          <w:rFonts w:cs="Arial"/>
          <w:szCs w:val="22"/>
        </w:rPr>
        <w:t>Challapa</w:t>
      </w:r>
      <w:proofErr w:type="spellEnd"/>
      <w:r w:rsidRPr="00DB6D42">
        <w:rPr>
          <w:rFonts w:cs="Arial"/>
          <w:szCs w:val="22"/>
        </w:rPr>
        <w:t xml:space="preserve">, </w:t>
      </w:r>
      <w:proofErr w:type="spellStart"/>
      <w:r w:rsidRPr="00DB6D42">
        <w:rPr>
          <w:rFonts w:cs="Arial"/>
          <w:szCs w:val="22"/>
        </w:rPr>
        <w:t>Yurly</w:t>
      </w:r>
      <w:proofErr w:type="spellEnd"/>
      <w:r w:rsidRPr="00DB6D42">
        <w:rPr>
          <w:rFonts w:cs="Arial"/>
          <w:szCs w:val="22"/>
        </w:rPr>
        <w:t xml:space="preserve"> Escobar, Daniel Lozano Helmut </w:t>
      </w:r>
      <w:proofErr w:type="spellStart"/>
      <w:r w:rsidRPr="00DB6D42">
        <w:rPr>
          <w:rFonts w:cs="Arial"/>
          <w:szCs w:val="22"/>
        </w:rPr>
        <w:t>Magne</w:t>
      </w:r>
      <w:proofErr w:type="spellEnd"/>
      <w:r w:rsidRPr="00DB6D42">
        <w:rPr>
          <w:rFonts w:cs="Arial"/>
          <w:szCs w:val="22"/>
        </w:rPr>
        <w:t xml:space="preserve">, Albert Mendoza, </w:t>
      </w:r>
      <w:proofErr w:type="spellStart"/>
      <w:r w:rsidRPr="00DB6D42">
        <w:rPr>
          <w:rFonts w:cs="Arial"/>
          <w:szCs w:val="22"/>
        </w:rPr>
        <w:t>Nilce</w:t>
      </w:r>
      <w:proofErr w:type="spellEnd"/>
      <w:r w:rsidRPr="00DB6D42">
        <w:rPr>
          <w:rFonts w:cs="Arial"/>
          <w:szCs w:val="22"/>
        </w:rPr>
        <w:t xml:space="preserve"> Mendoza</w:t>
      </w:r>
      <w:r w:rsidR="0045108A" w:rsidRPr="00DB6D42">
        <w:rPr>
          <w:rFonts w:cs="Arial"/>
          <w:szCs w:val="22"/>
        </w:rPr>
        <w:t>,</w:t>
      </w:r>
      <w:r w:rsidRPr="00DB6D42">
        <w:rPr>
          <w:rFonts w:cs="Arial"/>
          <w:szCs w:val="22"/>
        </w:rPr>
        <w:t xml:space="preserve"> Jimena Ramos</w:t>
      </w:r>
      <w:r w:rsidR="0045108A" w:rsidRPr="00DB6D42">
        <w:rPr>
          <w:rFonts w:cs="Arial"/>
          <w:szCs w:val="22"/>
        </w:rPr>
        <w:t>,</w:t>
      </w:r>
      <w:r w:rsidRPr="00DB6D42">
        <w:rPr>
          <w:rFonts w:cs="Arial"/>
          <w:szCs w:val="22"/>
        </w:rPr>
        <w:t xml:space="preserve"> </w:t>
      </w:r>
      <w:proofErr w:type="spellStart"/>
      <w:r w:rsidRPr="00DB6D42">
        <w:rPr>
          <w:rFonts w:cs="Arial"/>
          <w:szCs w:val="22"/>
        </w:rPr>
        <w:t>Gimena</w:t>
      </w:r>
      <w:proofErr w:type="spellEnd"/>
      <w:r w:rsidRPr="00DB6D42">
        <w:rPr>
          <w:rFonts w:cs="Arial"/>
          <w:szCs w:val="22"/>
        </w:rPr>
        <w:t xml:space="preserve"> Rojas, Lizeth Rojas, </w:t>
      </w:r>
      <w:proofErr w:type="spellStart"/>
      <w:r w:rsidRPr="00DB6D42">
        <w:rPr>
          <w:rFonts w:cs="Arial"/>
          <w:szCs w:val="22"/>
        </w:rPr>
        <w:t>Jimy</w:t>
      </w:r>
      <w:proofErr w:type="spellEnd"/>
      <w:r w:rsidRPr="00DB6D42">
        <w:rPr>
          <w:rFonts w:cs="Arial"/>
          <w:szCs w:val="22"/>
        </w:rPr>
        <w:t xml:space="preserve"> Pinto, Dunia Torrico</w:t>
      </w:r>
      <w:r w:rsidR="008C7C3F" w:rsidRPr="00DB6D42">
        <w:rPr>
          <w:rFonts w:cs="Arial"/>
          <w:szCs w:val="22"/>
        </w:rPr>
        <w:t>.</w:t>
      </w:r>
    </w:p>
    <w:p w14:paraId="77134E0C" w14:textId="77777777" w:rsidR="008C7C3F" w:rsidRPr="00DB6D42" w:rsidRDefault="00E41460" w:rsidP="00BB5FF5">
      <w:pPr>
        <w:autoSpaceDE w:val="0"/>
        <w:autoSpaceDN w:val="0"/>
        <w:adjustRightInd w:val="0"/>
        <w:spacing w:before="80" w:after="80"/>
        <w:jc w:val="both"/>
        <w:rPr>
          <w:rFonts w:cs="Arial"/>
          <w:szCs w:val="22"/>
          <w:lang w:val="es-ES"/>
        </w:rPr>
      </w:pPr>
      <w:r w:rsidRPr="00DB6D42">
        <w:rPr>
          <w:rFonts w:cs="Arial"/>
          <w:szCs w:val="22"/>
          <w:lang w:val="es-ES"/>
        </w:rPr>
        <w:t xml:space="preserve">Tarija: Alejandro Palacios, </w:t>
      </w:r>
      <w:r w:rsidR="008C7C3F" w:rsidRPr="00DB6D42">
        <w:rPr>
          <w:rFonts w:cs="Arial"/>
          <w:szCs w:val="22"/>
          <w:lang w:val="es-ES"/>
        </w:rPr>
        <w:t>Letty Cardozo, Gabriela Cuellar, Violeta Fernández, Isabe</w:t>
      </w:r>
      <w:r w:rsidR="00DD0D00" w:rsidRPr="00DB6D42">
        <w:rPr>
          <w:rFonts w:cs="Arial"/>
          <w:szCs w:val="22"/>
          <w:lang w:val="es-ES"/>
        </w:rPr>
        <w:t>l Gonzales, Alejandro Palacios,</w:t>
      </w:r>
      <w:r w:rsidR="008C7C3F" w:rsidRPr="00DB6D42">
        <w:rPr>
          <w:rFonts w:cs="Arial"/>
          <w:szCs w:val="22"/>
          <w:lang w:val="es-ES"/>
        </w:rPr>
        <w:t xml:space="preserve"> Rudy Vasco</w:t>
      </w:r>
      <w:r w:rsidR="0045108A" w:rsidRPr="00DB6D42">
        <w:rPr>
          <w:rFonts w:cs="Arial"/>
          <w:szCs w:val="22"/>
          <w:lang w:val="es-ES"/>
        </w:rPr>
        <w:t>.</w:t>
      </w:r>
    </w:p>
    <w:p w14:paraId="3AA622CA" w14:textId="77777777" w:rsidR="00B87A5B" w:rsidRPr="00DB6D42" w:rsidRDefault="00D76A1B" w:rsidP="00BB5FF5">
      <w:pPr>
        <w:autoSpaceDE w:val="0"/>
        <w:autoSpaceDN w:val="0"/>
        <w:adjustRightInd w:val="0"/>
        <w:spacing w:before="80" w:after="80"/>
        <w:jc w:val="both"/>
        <w:rPr>
          <w:lang w:val="es-ES"/>
        </w:rPr>
      </w:pPr>
      <w:r w:rsidRPr="00DB6D42">
        <w:rPr>
          <w:rFonts w:cs="Arial"/>
          <w:szCs w:val="22"/>
          <w:lang w:val="es-ES"/>
        </w:rPr>
        <w:t>UNIVERSIDAD MAYOR DE SAN SIMÓN</w:t>
      </w:r>
      <w:r w:rsidR="004A1571" w:rsidRPr="00DB6D42">
        <w:rPr>
          <w:rFonts w:cs="Arial"/>
          <w:szCs w:val="22"/>
          <w:lang w:val="es-ES"/>
        </w:rPr>
        <w:t>, Cochabamba</w:t>
      </w:r>
      <w:r w:rsidR="000264EC" w:rsidRPr="00DB6D42">
        <w:rPr>
          <w:rFonts w:cs="Arial"/>
          <w:szCs w:val="22"/>
          <w:lang w:val="es-ES"/>
        </w:rPr>
        <w:t>, Bolivia</w:t>
      </w:r>
      <w:r w:rsidR="00506E0C" w:rsidRPr="00DB6D42">
        <w:rPr>
          <w:rFonts w:cs="Arial"/>
          <w:szCs w:val="22"/>
          <w:lang w:val="es-ES"/>
        </w:rPr>
        <w:t xml:space="preserve"> - </w:t>
      </w:r>
      <w:r w:rsidR="00B87A5B" w:rsidRPr="00DB6D42">
        <w:rPr>
          <w:lang w:val="es-ES"/>
        </w:rPr>
        <w:t xml:space="preserve">Molecular </w:t>
      </w:r>
      <w:proofErr w:type="spellStart"/>
      <w:r w:rsidR="00B87A5B" w:rsidRPr="00DB6D42">
        <w:rPr>
          <w:lang w:val="es-ES"/>
        </w:rPr>
        <w:t>Biology</w:t>
      </w:r>
      <w:proofErr w:type="spellEnd"/>
      <w:r w:rsidR="0045108A" w:rsidRPr="00DB6D42">
        <w:rPr>
          <w:lang w:val="es-ES"/>
        </w:rPr>
        <w:t xml:space="preserve"> </w:t>
      </w:r>
      <w:proofErr w:type="spellStart"/>
      <w:r w:rsidR="00B87A5B" w:rsidRPr="00DB6D42">
        <w:rPr>
          <w:lang w:val="es-ES"/>
        </w:rPr>
        <w:t>Laboratory</w:t>
      </w:r>
      <w:proofErr w:type="spellEnd"/>
      <w:r w:rsidR="00B87A5B" w:rsidRPr="00DB6D42">
        <w:rPr>
          <w:lang w:val="es-ES"/>
        </w:rPr>
        <w:t>: Lineth</w:t>
      </w:r>
      <w:r w:rsidR="0045108A" w:rsidRPr="00DB6D42">
        <w:rPr>
          <w:lang w:val="es-ES"/>
        </w:rPr>
        <w:t xml:space="preserve"> </w:t>
      </w:r>
      <w:r w:rsidR="00B87A5B" w:rsidRPr="00DB6D42">
        <w:rPr>
          <w:lang w:val="es-ES"/>
        </w:rPr>
        <w:t xml:space="preserve">Garcia, Rudy Parrado, </w:t>
      </w:r>
      <w:proofErr w:type="spellStart"/>
      <w:r w:rsidR="00E81560" w:rsidRPr="00DB6D42">
        <w:rPr>
          <w:rFonts w:cs="Arial"/>
          <w:szCs w:val="22"/>
          <w:lang w:val="es-ES"/>
        </w:rPr>
        <w:t>Anabelle</w:t>
      </w:r>
      <w:proofErr w:type="spellEnd"/>
      <w:r w:rsidR="00E81560" w:rsidRPr="00DB6D42">
        <w:rPr>
          <w:rFonts w:cs="Arial"/>
          <w:szCs w:val="22"/>
          <w:lang w:val="es-ES"/>
        </w:rPr>
        <w:t xml:space="preserve"> de la </w:t>
      </w:r>
      <w:r w:rsidR="004A1571" w:rsidRPr="00DB6D42">
        <w:rPr>
          <w:rFonts w:cs="Arial"/>
          <w:szCs w:val="22"/>
          <w:lang w:val="es-ES"/>
        </w:rPr>
        <w:t>Barra, Nair</w:t>
      </w:r>
      <w:r w:rsidR="00830DAE" w:rsidRPr="00DB6D42">
        <w:rPr>
          <w:rFonts w:cs="Arial"/>
          <w:szCs w:val="22"/>
          <w:lang w:val="es-ES"/>
        </w:rPr>
        <w:t xml:space="preserve"> Montaño, </w:t>
      </w:r>
      <w:r w:rsidR="00E81560" w:rsidRPr="00DB6D42">
        <w:rPr>
          <w:rFonts w:cs="Arial"/>
          <w:szCs w:val="22"/>
          <w:lang w:val="es-ES"/>
        </w:rPr>
        <w:t>Sandro Villarroe</w:t>
      </w:r>
      <w:r w:rsidR="008C7C3F" w:rsidRPr="00DB6D42">
        <w:rPr>
          <w:rFonts w:cs="Arial"/>
          <w:szCs w:val="22"/>
          <w:lang w:val="es-ES"/>
        </w:rPr>
        <w:t>l.</w:t>
      </w:r>
    </w:p>
    <w:p w14:paraId="12915FC0" w14:textId="77777777" w:rsidR="00D76A1B" w:rsidRPr="00DB6D42" w:rsidRDefault="00D76A1B" w:rsidP="00BB5FF5">
      <w:pPr>
        <w:spacing w:before="80" w:after="80"/>
        <w:jc w:val="both"/>
        <w:rPr>
          <w:rFonts w:cs="Arial"/>
          <w:szCs w:val="22"/>
          <w:lang w:val="es-ES"/>
        </w:rPr>
      </w:pPr>
      <w:r w:rsidRPr="00DB6D42">
        <w:rPr>
          <w:rFonts w:cs="Arial"/>
          <w:szCs w:val="22"/>
          <w:lang w:val="es-ES"/>
        </w:rPr>
        <w:t>UNIVERSIDAD JUAN MISAEL SARACHO</w:t>
      </w:r>
      <w:r w:rsidRPr="00DB6D42">
        <w:rPr>
          <w:rFonts w:cs="Arial"/>
          <w:color w:val="000000"/>
          <w:szCs w:val="22"/>
          <w:lang w:val="es-ES"/>
        </w:rPr>
        <w:t xml:space="preserve">, Tarija, Bolivia – </w:t>
      </w:r>
      <w:r w:rsidR="0045108A" w:rsidRPr="00DB6D42">
        <w:rPr>
          <w:rFonts w:cs="Arial"/>
          <w:color w:val="000000"/>
          <w:szCs w:val="22"/>
          <w:lang w:val="es-ES"/>
        </w:rPr>
        <w:t>Carlos Hoyos.</w:t>
      </w:r>
    </w:p>
    <w:p w14:paraId="6E12FD59" w14:textId="77777777" w:rsidR="00D76A1B" w:rsidRPr="00DB6D42" w:rsidRDefault="00D76A1B" w:rsidP="00BB5FF5">
      <w:pPr>
        <w:spacing w:before="80" w:after="80" w:line="360" w:lineRule="auto"/>
        <w:jc w:val="both"/>
        <w:rPr>
          <w:rFonts w:cs="Arial"/>
          <w:color w:val="000000"/>
          <w:szCs w:val="22"/>
          <w:lang w:val="es-ES"/>
        </w:rPr>
      </w:pPr>
      <w:r w:rsidRPr="00DB6D42">
        <w:rPr>
          <w:lang w:val="es-ES"/>
        </w:rPr>
        <w:t>INGEBI/CONICET -</w:t>
      </w:r>
      <w:r w:rsidRPr="00DB6D42">
        <w:rPr>
          <w:rFonts w:cs="Arial"/>
          <w:color w:val="000000"/>
          <w:szCs w:val="22"/>
          <w:lang w:val="es-ES"/>
        </w:rPr>
        <w:t xml:space="preserve">Tomás Duffy, Margarita </w:t>
      </w:r>
      <w:proofErr w:type="spellStart"/>
      <w:r w:rsidRPr="00DB6D42">
        <w:rPr>
          <w:rFonts w:cs="Arial"/>
          <w:color w:val="000000"/>
          <w:szCs w:val="22"/>
          <w:lang w:val="es-ES"/>
        </w:rPr>
        <w:t>Bisio</w:t>
      </w:r>
      <w:proofErr w:type="spellEnd"/>
      <w:r w:rsidRPr="00DB6D42">
        <w:rPr>
          <w:rFonts w:cs="Arial"/>
          <w:color w:val="000000"/>
          <w:szCs w:val="22"/>
          <w:lang w:val="es-ES"/>
        </w:rPr>
        <w:t xml:space="preserve"> and Juan Carlos </w:t>
      </w:r>
      <w:proofErr w:type="spellStart"/>
      <w:r w:rsidRPr="00DB6D42">
        <w:rPr>
          <w:rFonts w:cs="Arial"/>
          <w:color w:val="000000"/>
          <w:szCs w:val="22"/>
          <w:lang w:val="es-ES"/>
        </w:rPr>
        <w:t>Ramirez</w:t>
      </w:r>
      <w:proofErr w:type="spellEnd"/>
      <w:r w:rsidRPr="00DB6D42">
        <w:rPr>
          <w:rFonts w:cs="Arial"/>
          <w:color w:val="000000"/>
          <w:szCs w:val="22"/>
          <w:lang w:val="es-ES"/>
        </w:rPr>
        <w:t>.</w:t>
      </w:r>
    </w:p>
    <w:p w14:paraId="698E2CCD" w14:textId="77777777" w:rsidR="00B87A5B" w:rsidRPr="00DB6D42" w:rsidRDefault="00D76A1B" w:rsidP="00BB5FF5">
      <w:pPr>
        <w:spacing w:before="80" w:after="80"/>
        <w:jc w:val="both"/>
        <w:rPr>
          <w:rFonts w:cs="Arial"/>
          <w:szCs w:val="22"/>
          <w:lang w:val="es-ES"/>
        </w:rPr>
      </w:pPr>
      <w:r w:rsidRPr="00DB6D42">
        <w:rPr>
          <w:rFonts w:cs="Arial"/>
          <w:szCs w:val="22"/>
          <w:lang w:val="es-ES"/>
        </w:rPr>
        <w:t xml:space="preserve">EISAI: </w:t>
      </w:r>
      <w:r w:rsidR="00B87A5B" w:rsidRPr="00DB6D42">
        <w:rPr>
          <w:rFonts w:cs="Arial"/>
          <w:szCs w:val="22"/>
          <w:lang w:val="es-ES"/>
        </w:rPr>
        <w:t xml:space="preserve">Fred </w:t>
      </w:r>
      <w:proofErr w:type="spellStart"/>
      <w:r w:rsidR="00B87A5B" w:rsidRPr="00DB6D42">
        <w:rPr>
          <w:rFonts w:cs="Arial"/>
          <w:szCs w:val="22"/>
          <w:lang w:val="es-ES"/>
        </w:rPr>
        <w:t>Duncanson</w:t>
      </w:r>
      <w:proofErr w:type="spellEnd"/>
      <w:r w:rsidR="00980780" w:rsidRPr="00DB6D42">
        <w:rPr>
          <w:rFonts w:cs="Arial"/>
          <w:szCs w:val="22"/>
          <w:lang w:val="es-ES"/>
        </w:rPr>
        <w:t xml:space="preserve"> (</w:t>
      </w:r>
      <w:r w:rsidR="00980780" w:rsidRPr="00DB6D42">
        <w:rPr>
          <w:rFonts w:cs="Arial"/>
          <w:i/>
          <w:szCs w:val="22"/>
          <w:lang w:val="es-ES"/>
        </w:rPr>
        <w:t>in memoriam</w:t>
      </w:r>
      <w:r w:rsidR="00980780" w:rsidRPr="00DB6D42">
        <w:rPr>
          <w:rFonts w:cs="Arial"/>
          <w:szCs w:val="22"/>
          <w:lang w:val="es-ES"/>
        </w:rPr>
        <w:t>)</w:t>
      </w:r>
      <w:r w:rsidR="00B87A5B" w:rsidRPr="00DB6D42">
        <w:rPr>
          <w:rFonts w:cs="Arial"/>
          <w:szCs w:val="22"/>
          <w:lang w:val="es-ES"/>
        </w:rPr>
        <w:t>, Michael Everson, Antonia Daniels, Makoto Asada</w:t>
      </w:r>
      <w:r w:rsidR="00980780" w:rsidRPr="00DB6D42">
        <w:rPr>
          <w:rFonts w:cs="Arial"/>
          <w:szCs w:val="22"/>
          <w:lang w:val="es-ES"/>
        </w:rPr>
        <w:t>.</w:t>
      </w:r>
    </w:p>
    <w:p w14:paraId="0E599CDA" w14:textId="77777777" w:rsidR="00307640" w:rsidRPr="00DB6D42" w:rsidRDefault="00D76A1B" w:rsidP="00BB5FF5">
      <w:pPr>
        <w:spacing w:before="80" w:after="80"/>
        <w:jc w:val="both"/>
        <w:rPr>
          <w:rFonts w:cs="Arial"/>
          <w:szCs w:val="22"/>
          <w:lang w:val="es-ES"/>
        </w:rPr>
      </w:pPr>
      <w:r w:rsidRPr="00DB6D42">
        <w:rPr>
          <w:rFonts w:cs="Arial"/>
          <w:szCs w:val="22"/>
          <w:lang w:val="es-ES"/>
        </w:rPr>
        <w:t>HOSPITAL DE NIÑOS RICARDO GUTIERREZ</w:t>
      </w:r>
      <w:r w:rsidR="00434FA1" w:rsidRPr="00DB6D42">
        <w:rPr>
          <w:rFonts w:cs="Arial"/>
          <w:szCs w:val="22"/>
          <w:lang w:val="es-ES"/>
        </w:rPr>
        <w:t>, Buenos Aires, Argentina</w:t>
      </w:r>
      <w:r w:rsidRPr="00DB6D42">
        <w:rPr>
          <w:rFonts w:cs="Arial"/>
          <w:szCs w:val="22"/>
          <w:lang w:val="es-ES"/>
        </w:rPr>
        <w:t xml:space="preserve"> </w:t>
      </w:r>
      <w:r w:rsidR="00093453" w:rsidRPr="00DB6D42">
        <w:rPr>
          <w:rFonts w:cs="Arial"/>
          <w:szCs w:val="22"/>
          <w:lang w:val="es-ES"/>
        </w:rPr>
        <w:t xml:space="preserve">- </w:t>
      </w:r>
      <w:proofErr w:type="spellStart"/>
      <w:r w:rsidR="00B87A5B" w:rsidRPr="00DB6D42">
        <w:rPr>
          <w:rFonts w:cs="Arial"/>
          <w:szCs w:val="22"/>
          <w:lang w:val="es-ES"/>
        </w:rPr>
        <w:t>Pharmacokinetics</w:t>
      </w:r>
      <w:proofErr w:type="spellEnd"/>
      <w:r w:rsidR="00B87A5B" w:rsidRPr="00DB6D42">
        <w:rPr>
          <w:rFonts w:cs="Arial"/>
          <w:szCs w:val="22"/>
          <w:lang w:val="es-ES"/>
        </w:rPr>
        <w:t>: Facundo Garcia-</w:t>
      </w:r>
      <w:proofErr w:type="spellStart"/>
      <w:r w:rsidR="00B87A5B" w:rsidRPr="00DB6D42">
        <w:rPr>
          <w:rFonts w:cs="Arial"/>
          <w:szCs w:val="22"/>
          <w:lang w:val="es-ES"/>
        </w:rPr>
        <w:t>Bou</w:t>
      </w:r>
      <w:r w:rsidR="00093453" w:rsidRPr="00DB6D42">
        <w:rPr>
          <w:rFonts w:cs="Arial"/>
          <w:szCs w:val="22"/>
          <w:lang w:val="es-ES"/>
        </w:rPr>
        <w:t>r</w:t>
      </w:r>
      <w:r w:rsidR="00B87A5B" w:rsidRPr="00DB6D42">
        <w:rPr>
          <w:rFonts w:cs="Arial"/>
          <w:szCs w:val="22"/>
          <w:lang w:val="es-ES"/>
        </w:rPr>
        <w:t>nisen</w:t>
      </w:r>
      <w:proofErr w:type="spellEnd"/>
      <w:r w:rsidR="008C7C3F" w:rsidRPr="00DB6D42">
        <w:rPr>
          <w:rFonts w:cs="Arial"/>
          <w:szCs w:val="22"/>
          <w:lang w:val="es-ES"/>
        </w:rPr>
        <w:t>.</w:t>
      </w:r>
      <w:r w:rsidR="00B87A5B" w:rsidRPr="00DB6D42">
        <w:rPr>
          <w:rFonts w:cs="Arial"/>
          <w:szCs w:val="22"/>
          <w:lang w:val="es-ES"/>
        </w:rPr>
        <w:t xml:space="preserve"> </w:t>
      </w:r>
    </w:p>
    <w:p w14:paraId="1EE30BA6" w14:textId="77777777" w:rsidR="00307640" w:rsidRPr="00DB6D42" w:rsidRDefault="00D76A1B" w:rsidP="00BB5FF5">
      <w:pPr>
        <w:spacing w:before="80" w:after="80"/>
        <w:jc w:val="both"/>
        <w:rPr>
          <w:rFonts w:cs="Arial"/>
          <w:szCs w:val="22"/>
          <w:lang w:val="es-ES"/>
        </w:rPr>
      </w:pPr>
      <w:r w:rsidRPr="00DB6D42">
        <w:rPr>
          <w:rFonts w:cs="Arial"/>
          <w:szCs w:val="22"/>
          <w:lang w:val="es-ES"/>
        </w:rPr>
        <w:t>UNIVERSITY OF GEORGIA</w:t>
      </w:r>
      <w:r w:rsidR="00434FA1" w:rsidRPr="00DB6D42">
        <w:rPr>
          <w:rFonts w:cs="Arial"/>
          <w:szCs w:val="22"/>
          <w:lang w:val="es-ES"/>
        </w:rPr>
        <w:t xml:space="preserve">-ATHENS </w:t>
      </w:r>
      <w:r w:rsidRPr="00DB6D42">
        <w:rPr>
          <w:rFonts w:cs="Arial"/>
          <w:szCs w:val="22"/>
          <w:lang w:val="es-ES"/>
        </w:rPr>
        <w:t xml:space="preserve">– Multiplex </w:t>
      </w:r>
      <w:proofErr w:type="spellStart"/>
      <w:r w:rsidRPr="00DB6D42">
        <w:rPr>
          <w:rFonts w:cs="Arial"/>
          <w:szCs w:val="22"/>
          <w:lang w:val="es-ES"/>
        </w:rPr>
        <w:t>serodiagnostic</w:t>
      </w:r>
      <w:proofErr w:type="spellEnd"/>
      <w:r w:rsidRPr="00DB6D42">
        <w:rPr>
          <w:rFonts w:cs="Arial"/>
          <w:szCs w:val="22"/>
          <w:lang w:val="es-ES"/>
        </w:rPr>
        <w:t xml:space="preserve"> </w:t>
      </w:r>
      <w:proofErr w:type="spellStart"/>
      <w:r w:rsidRPr="00DB6D42">
        <w:rPr>
          <w:rFonts w:cs="Arial"/>
          <w:szCs w:val="22"/>
          <w:lang w:val="es-ES"/>
        </w:rPr>
        <w:t>assay</w:t>
      </w:r>
      <w:proofErr w:type="spellEnd"/>
      <w:r w:rsidRPr="00DB6D42">
        <w:rPr>
          <w:rFonts w:cs="Arial"/>
          <w:szCs w:val="22"/>
          <w:lang w:val="es-ES"/>
        </w:rPr>
        <w:t xml:space="preserve">: Richard </w:t>
      </w:r>
      <w:proofErr w:type="spellStart"/>
      <w:r w:rsidRPr="00DB6D42">
        <w:rPr>
          <w:rFonts w:cs="Arial"/>
          <w:szCs w:val="22"/>
          <w:lang w:val="es-ES"/>
        </w:rPr>
        <w:t>Tarleton</w:t>
      </w:r>
      <w:proofErr w:type="spellEnd"/>
      <w:r w:rsidR="008C7C3F" w:rsidRPr="00DB6D42">
        <w:rPr>
          <w:rFonts w:cs="Arial"/>
          <w:szCs w:val="22"/>
          <w:lang w:val="es-ES"/>
        </w:rPr>
        <w:t>.</w:t>
      </w:r>
    </w:p>
    <w:p w14:paraId="21298B75" w14:textId="19A1DDD4" w:rsidR="002A1319" w:rsidRPr="00DB6D42" w:rsidRDefault="002A1319" w:rsidP="00BB5FF5">
      <w:pPr>
        <w:spacing w:before="80" w:after="80"/>
        <w:jc w:val="both"/>
        <w:rPr>
          <w:rFonts w:cs="Arial"/>
          <w:szCs w:val="22"/>
          <w:lang w:val="en-US"/>
        </w:rPr>
      </w:pPr>
      <w:r w:rsidRPr="00DB6D42">
        <w:rPr>
          <w:rFonts w:cs="Arial"/>
          <w:szCs w:val="22"/>
          <w:lang w:val="en-US"/>
        </w:rPr>
        <w:t>COMPETENCE CENTER IN METHODOLOGY AND STATISTICS, Luxembourg -  statistical analyses: Michel Vaillant.</w:t>
      </w:r>
    </w:p>
    <w:p w14:paraId="0742987B" w14:textId="395BCDCB" w:rsidR="00506E0C" w:rsidRPr="00DB6D42" w:rsidRDefault="00E41460" w:rsidP="00BB5FF5">
      <w:pPr>
        <w:spacing w:before="80" w:after="80"/>
        <w:jc w:val="both"/>
        <w:rPr>
          <w:rFonts w:cs="Arial"/>
          <w:szCs w:val="22"/>
          <w:lang w:val="en-US"/>
        </w:rPr>
      </w:pPr>
      <w:r w:rsidRPr="00DB6D42">
        <w:rPr>
          <w:rFonts w:cs="Arial"/>
          <w:szCs w:val="22"/>
          <w:lang w:val="en-US"/>
        </w:rPr>
        <w:t>QUANTITATIVE SOLUTIONS - Eugene Cox</w:t>
      </w:r>
      <w:r w:rsidR="008C7C3F" w:rsidRPr="00DB6D42">
        <w:rPr>
          <w:rFonts w:cs="Arial"/>
          <w:szCs w:val="22"/>
          <w:lang w:val="en-US"/>
        </w:rPr>
        <w:t>,</w:t>
      </w:r>
      <w:r w:rsidR="0045108A" w:rsidRPr="00DB6D42">
        <w:rPr>
          <w:rFonts w:cs="Arial"/>
          <w:szCs w:val="22"/>
          <w:lang w:val="en-US"/>
        </w:rPr>
        <w:t xml:space="preserve"> </w:t>
      </w:r>
      <w:r w:rsidRPr="00DB6D42">
        <w:rPr>
          <w:rFonts w:cs="Arial"/>
          <w:szCs w:val="22"/>
          <w:lang w:val="en-US"/>
        </w:rPr>
        <w:t xml:space="preserve">David </w:t>
      </w:r>
      <w:proofErr w:type="spellStart"/>
      <w:r w:rsidRPr="00DB6D42">
        <w:rPr>
          <w:rFonts w:cs="Arial"/>
          <w:szCs w:val="22"/>
          <w:lang w:val="en-US"/>
        </w:rPr>
        <w:t>Wesche</w:t>
      </w:r>
      <w:proofErr w:type="spellEnd"/>
      <w:r w:rsidR="008C7C3F" w:rsidRPr="00DB6D42">
        <w:rPr>
          <w:rFonts w:cs="Arial"/>
          <w:szCs w:val="22"/>
          <w:lang w:val="en-US"/>
        </w:rPr>
        <w:t>.</w:t>
      </w:r>
    </w:p>
    <w:p w14:paraId="20E04A80" w14:textId="77777777" w:rsidR="00B87A5B" w:rsidRPr="00DB6D42" w:rsidRDefault="00D76A1B" w:rsidP="00BB5FF5">
      <w:pPr>
        <w:spacing w:before="80" w:after="80"/>
        <w:jc w:val="both"/>
        <w:rPr>
          <w:rFonts w:cs="Arial"/>
          <w:color w:val="000000"/>
          <w:szCs w:val="22"/>
          <w:lang w:val="en-US"/>
        </w:rPr>
      </w:pPr>
      <w:r w:rsidRPr="00DB6D42">
        <w:rPr>
          <w:rFonts w:cs="Arial"/>
          <w:color w:val="000000"/>
          <w:szCs w:val="22"/>
          <w:lang w:val="en-US"/>
        </w:rPr>
        <w:t>BORDER BIOMEDICAL RESEARCH CENTER, UNIVERSITY OF TEXAS AT EL PASO (UTEP</w:t>
      </w:r>
      <w:r w:rsidR="00E533B6" w:rsidRPr="00DB6D42">
        <w:rPr>
          <w:rFonts w:cs="Arial"/>
          <w:color w:val="000000"/>
          <w:szCs w:val="22"/>
          <w:lang w:val="en-US"/>
        </w:rPr>
        <w:t>)</w:t>
      </w:r>
      <w:r w:rsidR="00307640" w:rsidRPr="00DB6D42">
        <w:rPr>
          <w:rFonts w:cs="Arial"/>
          <w:color w:val="000000"/>
          <w:szCs w:val="22"/>
          <w:lang w:val="en-US"/>
        </w:rPr>
        <w:t xml:space="preserve">, </w:t>
      </w:r>
      <w:r w:rsidR="00E533B6" w:rsidRPr="00DB6D42">
        <w:rPr>
          <w:rFonts w:cs="Arial"/>
          <w:color w:val="000000"/>
          <w:szCs w:val="22"/>
          <w:lang w:val="en-US"/>
        </w:rPr>
        <w:t>El Paso, Texas, USA</w:t>
      </w:r>
      <w:r w:rsidR="00434FA1" w:rsidRPr="00DB6D42">
        <w:rPr>
          <w:rFonts w:cs="Arial"/>
          <w:color w:val="000000"/>
          <w:szCs w:val="22"/>
          <w:lang w:val="en-US"/>
        </w:rPr>
        <w:t xml:space="preserve"> – AT CL-ELISA:</w:t>
      </w:r>
      <w:r w:rsidR="00E533B6" w:rsidRPr="00DB6D42">
        <w:rPr>
          <w:rFonts w:cs="Arial"/>
          <w:color w:val="000000"/>
          <w:szCs w:val="22"/>
          <w:lang w:val="en-US"/>
        </w:rPr>
        <w:t xml:space="preserve"> Alexandre</w:t>
      </w:r>
      <w:r w:rsidR="008C7C3F" w:rsidRPr="00DB6D42">
        <w:rPr>
          <w:rFonts w:cs="Arial"/>
          <w:color w:val="000000"/>
          <w:szCs w:val="22"/>
          <w:lang w:val="en-US"/>
        </w:rPr>
        <w:t xml:space="preserve"> </w:t>
      </w:r>
      <w:r w:rsidR="00E533B6" w:rsidRPr="00DB6D42">
        <w:rPr>
          <w:rFonts w:cs="Arial"/>
          <w:color w:val="000000"/>
          <w:szCs w:val="22"/>
          <w:lang w:val="en-US"/>
        </w:rPr>
        <w:t xml:space="preserve">F. </w:t>
      </w:r>
      <w:r w:rsidR="00506E0C" w:rsidRPr="00DB6D42">
        <w:rPr>
          <w:rFonts w:cs="Arial"/>
          <w:color w:val="000000"/>
          <w:szCs w:val="22"/>
          <w:lang w:val="en-US"/>
        </w:rPr>
        <w:t>Marques</w:t>
      </w:r>
      <w:r w:rsidR="008C7C3F" w:rsidRPr="00DB6D42">
        <w:rPr>
          <w:rFonts w:cs="Arial"/>
          <w:color w:val="000000"/>
          <w:szCs w:val="22"/>
          <w:lang w:val="en-US"/>
        </w:rPr>
        <w:t>.</w:t>
      </w:r>
    </w:p>
    <w:p w14:paraId="5796E398" w14:textId="77777777" w:rsidR="00434FA1" w:rsidRPr="00DB6D42" w:rsidRDefault="00434FA1" w:rsidP="00BB5FF5">
      <w:pPr>
        <w:spacing w:before="80" w:after="80"/>
        <w:jc w:val="both"/>
        <w:rPr>
          <w:rFonts w:cs="Arial"/>
          <w:szCs w:val="22"/>
          <w:lang w:val="pt-BR"/>
        </w:rPr>
      </w:pPr>
      <w:r w:rsidRPr="00DB6D42">
        <w:rPr>
          <w:rFonts w:cs="Arial"/>
          <w:szCs w:val="22"/>
          <w:lang w:val="pt-BR"/>
        </w:rPr>
        <w:t>UNIVERSIDADE FEDERAL DE MINAS GERAIS, INSTITUTO DE CIENCIAS BIOLOGICAS, DEPARTAMENTO DE PARASITOLOGIA, PAMPULHA, BELO HORIZONTE, MINAS GERAIS, BRAZIL: Alexandre F. Marques</w:t>
      </w:r>
    </w:p>
    <w:p w14:paraId="4B7C8C06" w14:textId="77777777" w:rsidR="00D76A1B" w:rsidRPr="00DB6D42" w:rsidRDefault="00D76A1B" w:rsidP="00BB5FF5">
      <w:pPr>
        <w:spacing w:before="80" w:after="80" w:line="360" w:lineRule="auto"/>
        <w:jc w:val="both"/>
        <w:rPr>
          <w:rFonts w:cs="Arial"/>
          <w:color w:val="000000"/>
          <w:szCs w:val="22"/>
          <w:lang w:val="pt-BR"/>
        </w:rPr>
      </w:pPr>
    </w:p>
    <w:p w14:paraId="0414950E" w14:textId="77777777" w:rsidR="00B32B9F" w:rsidRPr="00DB6D42" w:rsidRDefault="00B32B9F" w:rsidP="00BB5FF5">
      <w:pPr>
        <w:spacing w:before="80" w:after="80" w:line="360" w:lineRule="auto"/>
        <w:jc w:val="both"/>
        <w:rPr>
          <w:b/>
          <w:lang w:val="en-US"/>
        </w:rPr>
      </w:pPr>
      <w:r w:rsidRPr="00DB6D42">
        <w:rPr>
          <w:b/>
          <w:lang w:val="en-US"/>
        </w:rPr>
        <w:t>Acknowledgements</w:t>
      </w:r>
    </w:p>
    <w:p w14:paraId="24A6E984" w14:textId="77777777" w:rsidR="00AA61BB" w:rsidRPr="00DB6D42" w:rsidRDefault="008227C4" w:rsidP="00BB5FF5">
      <w:pPr>
        <w:spacing w:before="80" w:after="80" w:line="360" w:lineRule="auto"/>
        <w:jc w:val="both"/>
        <w:rPr>
          <w:lang w:val="en-US"/>
        </w:rPr>
      </w:pPr>
      <w:r w:rsidRPr="00DB6D42">
        <w:rPr>
          <w:lang w:val="en-US"/>
        </w:rPr>
        <w:t xml:space="preserve">We wish to express our sincere and profound thanks to the patients who took part in this study and to the nurses and laboratory staff who contributed to its successful and safe execution. </w:t>
      </w:r>
    </w:p>
    <w:p w14:paraId="325945F8" w14:textId="77777777" w:rsidR="008227C4" w:rsidRPr="00DB6D42" w:rsidRDefault="008227C4" w:rsidP="00BB5FF5">
      <w:pPr>
        <w:spacing w:before="80" w:after="80" w:line="360" w:lineRule="auto"/>
        <w:jc w:val="both"/>
        <w:rPr>
          <w:lang w:val="en-US"/>
        </w:rPr>
      </w:pPr>
      <w:r w:rsidRPr="00DB6D42">
        <w:rPr>
          <w:lang w:val="en-US"/>
        </w:rPr>
        <w:t>We thank our D</w:t>
      </w:r>
      <w:r w:rsidR="0045108A" w:rsidRPr="00DB6D42">
        <w:rPr>
          <w:lang w:val="en-US"/>
        </w:rPr>
        <w:t>ata Safety Monitoring Board</w:t>
      </w:r>
      <w:r w:rsidRPr="00DB6D42">
        <w:rPr>
          <w:lang w:val="en-US"/>
        </w:rPr>
        <w:t xml:space="preserve"> who reviewed the study data and provided very valuable and timely responses and advice: Drs. Sergio Sosa Estani (Chairperson), Anis</w:t>
      </w:r>
      <w:r w:rsidR="0045108A" w:rsidRPr="00DB6D42">
        <w:rPr>
          <w:lang w:val="en-US"/>
        </w:rPr>
        <w:t xml:space="preserve"> </w:t>
      </w:r>
      <w:proofErr w:type="spellStart"/>
      <w:r w:rsidRPr="00DB6D42">
        <w:rPr>
          <w:lang w:val="en-US"/>
        </w:rPr>
        <w:t>Rassi</w:t>
      </w:r>
      <w:proofErr w:type="spellEnd"/>
      <w:r w:rsidRPr="00DB6D42">
        <w:rPr>
          <w:lang w:val="en-US"/>
        </w:rPr>
        <w:t xml:space="preserve"> Jr., </w:t>
      </w:r>
      <w:r w:rsidR="00B87A5B" w:rsidRPr="00DB6D42">
        <w:rPr>
          <w:lang w:val="en-US"/>
        </w:rPr>
        <w:t xml:space="preserve">Dominique </w:t>
      </w:r>
      <w:proofErr w:type="spellStart"/>
      <w:r w:rsidR="00B87A5B" w:rsidRPr="00DB6D42">
        <w:rPr>
          <w:lang w:val="en-US"/>
        </w:rPr>
        <w:t>Larrey</w:t>
      </w:r>
      <w:proofErr w:type="spellEnd"/>
      <w:r w:rsidR="00B87A5B" w:rsidRPr="00DB6D42">
        <w:rPr>
          <w:lang w:val="en-US"/>
        </w:rPr>
        <w:t xml:space="preserve">, Jean-Louis </w:t>
      </w:r>
      <w:proofErr w:type="spellStart"/>
      <w:r w:rsidR="00B87A5B" w:rsidRPr="00DB6D42">
        <w:rPr>
          <w:lang w:val="en-US"/>
        </w:rPr>
        <w:t>Paillasseur</w:t>
      </w:r>
      <w:proofErr w:type="spellEnd"/>
      <w:r w:rsidR="00BF2C53" w:rsidRPr="00DB6D42">
        <w:rPr>
          <w:lang w:val="en-US"/>
        </w:rPr>
        <w:t xml:space="preserve"> and</w:t>
      </w:r>
      <w:r w:rsidR="00B87A5B" w:rsidRPr="00DB6D42">
        <w:rPr>
          <w:lang w:val="en-US"/>
        </w:rPr>
        <w:t xml:space="preserve"> Pascal </w:t>
      </w:r>
      <w:proofErr w:type="spellStart"/>
      <w:r w:rsidR="00B87A5B" w:rsidRPr="00DB6D42">
        <w:rPr>
          <w:lang w:val="en-US"/>
        </w:rPr>
        <w:t>Voir</w:t>
      </w:r>
      <w:r w:rsidR="00D260B3" w:rsidRPr="00DB6D42">
        <w:rPr>
          <w:lang w:val="en-US"/>
        </w:rPr>
        <w:t>i</w:t>
      </w:r>
      <w:r w:rsidR="00B87A5B" w:rsidRPr="00DB6D42">
        <w:rPr>
          <w:lang w:val="en-US"/>
        </w:rPr>
        <w:t>ot</w:t>
      </w:r>
      <w:proofErr w:type="spellEnd"/>
      <w:r w:rsidRPr="00DB6D42">
        <w:rPr>
          <w:lang w:val="en-US"/>
        </w:rPr>
        <w:t>.</w:t>
      </w:r>
    </w:p>
    <w:p w14:paraId="25DE0CD8" w14:textId="77777777" w:rsidR="00B87A5B" w:rsidRPr="00DB6D42" w:rsidRDefault="00B32B9F" w:rsidP="00BB5FF5">
      <w:pPr>
        <w:spacing w:before="80" w:after="80" w:line="360" w:lineRule="auto"/>
        <w:jc w:val="both"/>
        <w:rPr>
          <w:lang w:val="en-US"/>
        </w:rPr>
      </w:pPr>
      <w:r w:rsidRPr="00DB6D42">
        <w:rPr>
          <w:lang w:val="en-US"/>
        </w:rPr>
        <w:t xml:space="preserve">We extend our thanks to Dr Vanessa Gray-Schopfer, </w:t>
      </w:r>
      <w:proofErr w:type="spellStart"/>
      <w:r w:rsidRPr="00DB6D42">
        <w:rPr>
          <w:lang w:val="en-US"/>
        </w:rPr>
        <w:t>OmniScience</w:t>
      </w:r>
      <w:proofErr w:type="spellEnd"/>
      <w:r w:rsidRPr="00DB6D42">
        <w:rPr>
          <w:lang w:val="en-US"/>
        </w:rPr>
        <w:t xml:space="preserve"> SA, who provided medical writing services on behalf of DNDi</w:t>
      </w:r>
      <w:r w:rsidR="005224C6" w:rsidRPr="00DB6D42">
        <w:rPr>
          <w:lang w:val="en-US"/>
        </w:rPr>
        <w:t xml:space="preserve">, and to Dr Susan Wells (DNDi) for editing </w:t>
      </w:r>
      <w:r w:rsidR="005224C6" w:rsidRPr="00DB6D42">
        <w:rPr>
          <w:lang w:val="en-US"/>
        </w:rPr>
        <w:lastRenderedPageBreak/>
        <w:t>the manuscript</w:t>
      </w:r>
      <w:r w:rsidRPr="00DB6D42">
        <w:rPr>
          <w:lang w:val="en-US"/>
        </w:rPr>
        <w:t xml:space="preserve">. The authors </w:t>
      </w:r>
      <w:r w:rsidR="00BF2C53" w:rsidRPr="00DB6D42">
        <w:rPr>
          <w:lang w:val="en-US"/>
        </w:rPr>
        <w:t>a</w:t>
      </w:r>
      <w:r w:rsidRPr="00DB6D42">
        <w:rPr>
          <w:lang w:val="en-US"/>
        </w:rPr>
        <w:t xml:space="preserve">re fully responsible for </w:t>
      </w:r>
      <w:r w:rsidR="00BF2C53" w:rsidRPr="00DB6D42">
        <w:rPr>
          <w:lang w:val="en-US"/>
        </w:rPr>
        <w:t xml:space="preserve">the </w:t>
      </w:r>
      <w:r w:rsidRPr="00DB6D42">
        <w:rPr>
          <w:lang w:val="en-US"/>
        </w:rPr>
        <w:t>contents and editorial</w:t>
      </w:r>
      <w:r w:rsidR="00A02C2C" w:rsidRPr="00DB6D42">
        <w:rPr>
          <w:lang w:val="en-US"/>
        </w:rPr>
        <w:t xml:space="preserve"> decisions for this manuscript.</w:t>
      </w:r>
    </w:p>
    <w:p w14:paraId="4A43C356" w14:textId="0C9CE8D8" w:rsidR="00BC2006" w:rsidRPr="00DB6D42" w:rsidRDefault="00B87A5B" w:rsidP="00BB5FF5">
      <w:pPr>
        <w:spacing w:before="80" w:after="80" w:line="360" w:lineRule="auto"/>
        <w:jc w:val="both"/>
        <w:rPr>
          <w:rFonts w:cs="Arial"/>
          <w:szCs w:val="22"/>
        </w:rPr>
      </w:pPr>
      <w:r w:rsidRPr="00DB6D42">
        <w:rPr>
          <w:rFonts w:cs="Arial"/>
          <w:szCs w:val="22"/>
          <w:lang w:val="en-US"/>
        </w:rPr>
        <w:t xml:space="preserve">This clinical trial was funded by </w:t>
      </w:r>
      <w:r w:rsidR="009E4968" w:rsidRPr="00DB6D42">
        <w:rPr>
          <w:rFonts w:cs="Arial"/>
          <w:szCs w:val="22"/>
          <w:lang w:val="en-US"/>
        </w:rPr>
        <w:t xml:space="preserve">through DNDi by </w:t>
      </w:r>
      <w:r w:rsidRPr="00DB6D42">
        <w:rPr>
          <w:rFonts w:cs="Arial"/>
          <w:szCs w:val="22"/>
          <w:lang w:val="en-US"/>
        </w:rPr>
        <w:t xml:space="preserve">the </w:t>
      </w:r>
      <w:r w:rsidR="009E4968" w:rsidRPr="00DB6D42">
        <w:rPr>
          <w:rFonts w:cs="Arial"/>
          <w:szCs w:val="22"/>
          <w:lang w:val="en-US"/>
        </w:rPr>
        <w:t xml:space="preserve">following donors: </w:t>
      </w:r>
      <w:r w:rsidRPr="00DB6D42">
        <w:rPr>
          <w:rFonts w:cs="Arial"/>
          <w:szCs w:val="22"/>
          <w:lang w:val="en-US"/>
        </w:rPr>
        <w:t xml:space="preserve">Strategic Translation Award from the </w:t>
      </w:r>
      <w:proofErr w:type="spellStart"/>
      <w:r w:rsidRPr="00DB6D42">
        <w:rPr>
          <w:rFonts w:cs="Arial"/>
          <w:szCs w:val="22"/>
          <w:lang w:val="en-US"/>
        </w:rPr>
        <w:t>Wellcome</w:t>
      </w:r>
      <w:proofErr w:type="spellEnd"/>
      <w:r w:rsidRPr="00DB6D42">
        <w:rPr>
          <w:rFonts w:cs="Arial"/>
          <w:szCs w:val="22"/>
          <w:lang w:val="en-US"/>
        </w:rPr>
        <w:t xml:space="preserve"> Trust (grant number </w:t>
      </w:r>
      <w:r w:rsidR="009E4968" w:rsidRPr="00DB6D42">
        <w:rPr>
          <w:rFonts w:cs="Arial"/>
          <w:szCs w:val="22"/>
          <w:lang w:val="en-US"/>
        </w:rPr>
        <w:t>095422</w:t>
      </w:r>
      <w:r w:rsidRPr="00DB6D42">
        <w:rPr>
          <w:rFonts w:cs="Arial"/>
          <w:szCs w:val="22"/>
          <w:lang w:val="en-US"/>
        </w:rPr>
        <w:t>)</w:t>
      </w:r>
      <w:r w:rsidR="009E4968" w:rsidRPr="00DB6D42">
        <w:rPr>
          <w:rFonts w:cs="Arial"/>
          <w:szCs w:val="22"/>
          <w:lang w:val="en-US"/>
        </w:rPr>
        <w:t>;</w:t>
      </w:r>
      <w:r w:rsidR="0045108A" w:rsidRPr="00DB6D42">
        <w:rPr>
          <w:rFonts w:cs="Arial"/>
          <w:szCs w:val="22"/>
          <w:lang w:val="en-US"/>
        </w:rPr>
        <w:t xml:space="preserve"> </w:t>
      </w:r>
      <w:r w:rsidR="003478A8" w:rsidRPr="00DB6D42">
        <w:rPr>
          <w:rFonts w:cs="Arial"/>
          <w:szCs w:val="22"/>
          <w:lang w:val="en-US"/>
        </w:rPr>
        <w:t>Médecins Sans Frontières (Doctors without Borders), International</w:t>
      </w:r>
      <w:r w:rsidR="009E4968" w:rsidRPr="00DB6D42">
        <w:rPr>
          <w:rFonts w:cs="Arial"/>
          <w:szCs w:val="22"/>
          <w:lang w:val="en-US"/>
        </w:rPr>
        <w:t xml:space="preserve">; Ministry of Foreign </w:t>
      </w:r>
      <w:r w:rsidR="00D260B3" w:rsidRPr="00DB6D42">
        <w:rPr>
          <w:rFonts w:cs="Arial"/>
          <w:szCs w:val="22"/>
          <w:lang w:val="en-US"/>
        </w:rPr>
        <w:t>Affairs,</w:t>
      </w:r>
      <w:r w:rsidR="009E4968" w:rsidRPr="00DB6D42">
        <w:rPr>
          <w:rFonts w:cs="Arial"/>
          <w:szCs w:val="22"/>
          <w:lang w:val="en-US"/>
        </w:rPr>
        <w:t xml:space="preserve"> Spain; </w:t>
      </w:r>
      <w:r w:rsidR="003478A8" w:rsidRPr="00DB6D42">
        <w:rPr>
          <w:rFonts w:cs="Arial"/>
          <w:szCs w:val="22"/>
          <w:lang w:val="en-US"/>
        </w:rPr>
        <w:t>Department for International Development (</w:t>
      </w:r>
      <w:r w:rsidR="009E4968" w:rsidRPr="00DB6D42">
        <w:rPr>
          <w:rFonts w:cs="Arial"/>
          <w:szCs w:val="22"/>
          <w:lang w:val="en-US"/>
        </w:rPr>
        <w:t>DFID</w:t>
      </w:r>
      <w:r w:rsidR="003478A8" w:rsidRPr="00DB6D42">
        <w:rPr>
          <w:rFonts w:cs="Arial"/>
          <w:szCs w:val="22"/>
          <w:lang w:val="en-US"/>
        </w:rPr>
        <w:t>),</w:t>
      </w:r>
      <w:r w:rsidR="00C961AE" w:rsidRPr="00DB6D42">
        <w:rPr>
          <w:rFonts w:cs="Arial"/>
          <w:szCs w:val="22"/>
          <w:lang w:val="en-US"/>
        </w:rPr>
        <w:t xml:space="preserve"> </w:t>
      </w:r>
      <w:r w:rsidR="003478A8" w:rsidRPr="00DB6D42">
        <w:rPr>
          <w:rFonts w:cs="Arial"/>
          <w:szCs w:val="22"/>
          <w:lang w:val="en-US"/>
        </w:rPr>
        <w:t>UK</w:t>
      </w:r>
      <w:r w:rsidR="009E4968" w:rsidRPr="00DB6D42">
        <w:rPr>
          <w:rFonts w:cs="Arial"/>
          <w:szCs w:val="22"/>
          <w:lang w:val="en-US"/>
        </w:rPr>
        <w:t xml:space="preserve">; </w:t>
      </w:r>
      <w:r w:rsidR="003478A8" w:rsidRPr="00DB6D42">
        <w:rPr>
          <w:rFonts w:cs="Arial"/>
          <w:szCs w:val="22"/>
          <w:lang w:val="en-US"/>
        </w:rPr>
        <w:t>Dutch Ministry of Foreign Affairs (DGIS), The Netherlands</w:t>
      </w:r>
      <w:r w:rsidR="009E4968" w:rsidRPr="00DB6D42">
        <w:rPr>
          <w:rFonts w:cs="Arial"/>
          <w:szCs w:val="22"/>
          <w:lang w:val="en-US"/>
        </w:rPr>
        <w:t>; Rockefeller</w:t>
      </w:r>
      <w:r w:rsidR="003478A8" w:rsidRPr="00DB6D42">
        <w:rPr>
          <w:rFonts w:cs="Arial"/>
          <w:szCs w:val="22"/>
          <w:lang w:val="en-US"/>
        </w:rPr>
        <w:t xml:space="preserve"> Foundation,</w:t>
      </w:r>
      <w:r w:rsidR="009E4968" w:rsidRPr="00DB6D42">
        <w:rPr>
          <w:rFonts w:cs="Arial"/>
          <w:szCs w:val="22"/>
          <w:lang w:val="en-US"/>
        </w:rPr>
        <w:t xml:space="preserve"> USA</w:t>
      </w:r>
      <w:r w:rsidR="003478A8" w:rsidRPr="00DB6D42">
        <w:rPr>
          <w:rFonts w:cs="Arial"/>
          <w:szCs w:val="22"/>
          <w:lang w:val="en-US"/>
        </w:rPr>
        <w:t>;</w:t>
      </w:r>
      <w:r w:rsidR="009E4968" w:rsidRPr="00DB6D42">
        <w:rPr>
          <w:rFonts w:cs="Arial"/>
          <w:szCs w:val="22"/>
          <w:lang w:val="en-US"/>
        </w:rPr>
        <w:t xml:space="preserve"> and anonymous </w:t>
      </w:r>
      <w:r w:rsidR="004A1571" w:rsidRPr="00DB6D42">
        <w:rPr>
          <w:rFonts w:cs="Arial"/>
          <w:szCs w:val="22"/>
          <w:lang w:val="en-US"/>
        </w:rPr>
        <w:t>donors. The</w:t>
      </w:r>
      <w:r w:rsidR="00D76A1B" w:rsidRPr="00DB6D42">
        <w:rPr>
          <w:rFonts w:cs="Arial"/>
          <w:szCs w:val="22"/>
          <w:lang w:val="en-US"/>
        </w:rPr>
        <w:t xml:space="preserve"> Platform for a Comprehensive Care of Patients with Chagas disease in Bolivia is a collaborative project between CEADES of Health and Environment; Universidad Mayor de San Simon in Cochabamba, Bolivia; Juan Misael University </w:t>
      </w:r>
      <w:proofErr w:type="spellStart"/>
      <w:r w:rsidR="00D76A1B" w:rsidRPr="00DB6D42">
        <w:rPr>
          <w:rFonts w:cs="Arial"/>
          <w:szCs w:val="22"/>
          <w:lang w:val="en-US"/>
        </w:rPr>
        <w:t>Saracho</w:t>
      </w:r>
      <w:proofErr w:type="spellEnd"/>
      <w:r w:rsidR="004A1571" w:rsidRPr="00DB6D42">
        <w:rPr>
          <w:rFonts w:cs="Arial"/>
          <w:szCs w:val="22"/>
          <w:lang w:val="en-US"/>
        </w:rPr>
        <w:t>,</w:t>
      </w:r>
      <w:r w:rsidR="00D76A1B" w:rsidRPr="00DB6D42">
        <w:rPr>
          <w:rFonts w:cs="Arial"/>
          <w:szCs w:val="22"/>
          <w:lang w:val="en-US"/>
        </w:rPr>
        <w:t xml:space="preserve"> Tarija, Bolivia; and </w:t>
      </w:r>
      <w:proofErr w:type="spellStart"/>
      <w:r w:rsidR="00FD468F" w:rsidRPr="00DB6D42">
        <w:rPr>
          <w:rFonts w:cs="Arial"/>
          <w:szCs w:val="22"/>
          <w:lang w:val="en-US"/>
        </w:rPr>
        <w:t>ISGlobal</w:t>
      </w:r>
      <w:proofErr w:type="spellEnd"/>
      <w:r w:rsidR="00FD468F" w:rsidRPr="00DB6D42">
        <w:rPr>
          <w:rFonts w:cs="Arial"/>
          <w:szCs w:val="22"/>
          <w:lang w:val="en-US"/>
        </w:rPr>
        <w:t xml:space="preserve"> </w:t>
      </w:r>
      <w:r w:rsidR="00D76A1B" w:rsidRPr="00DB6D42">
        <w:rPr>
          <w:rFonts w:cs="Arial"/>
          <w:szCs w:val="22"/>
          <w:lang w:val="en-US"/>
        </w:rPr>
        <w:t xml:space="preserve">(Barcelona Institute for Global Health, Spain), and supported by the National Chagas Control Program in Bolivia. </w:t>
      </w:r>
      <w:r w:rsidR="00D76A1B" w:rsidRPr="00DB6D42">
        <w:rPr>
          <w:rFonts w:cs="Arial"/>
          <w:color w:val="000000"/>
          <w:szCs w:val="22"/>
          <w:lang w:val="en-US"/>
        </w:rPr>
        <w:t>The Platform is funded by the Spanish Agency for Cooperation and Development (AECID) (grant number</w:t>
      </w:r>
      <w:r w:rsidR="00D76A1B" w:rsidRPr="00DB6D42">
        <w:rPr>
          <w:rFonts w:cs="Arial"/>
          <w:szCs w:val="22"/>
          <w:lang w:val="en-US" w:eastAsia="es-ES"/>
        </w:rPr>
        <w:t xml:space="preserve"> 10-CO1-039).</w:t>
      </w:r>
      <w:r w:rsidR="00434FA1" w:rsidRPr="00DB6D42">
        <w:rPr>
          <w:rFonts w:cs="Arial"/>
          <w:szCs w:val="22"/>
          <w:lang w:val="en-US" w:eastAsia="es-ES"/>
        </w:rPr>
        <w:t xml:space="preserve"> </w:t>
      </w:r>
      <w:proofErr w:type="spellStart"/>
      <w:r w:rsidR="00FD468F" w:rsidRPr="00DB6D42">
        <w:rPr>
          <w:rFonts w:cs="Arial"/>
          <w:szCs w:val="22"/>
          <w:lang w:val="en-US"/>
        </w:rPr>
        <w:t>ISGlobal</w:t>
      </w:r>
      <w:proofErr w:type="spellEnd"/>
      <w:r w:rsidR="00FD468F" w:rsidRPr="00DB6D42">
        <w:rPr>
          <w:rFonts w:cs="Arial"/>
          <w:szCs w:val="22"/>
          <w:lang w:val="en-US"/>
        </w:rPr>
        <w:t xml:space="preserve"> </w:t>
      </w:r>
      <w:r w:rsidR="00BC2006" w:rsidRPr="00DB6D42">
        <w:rPr>
          <w:rFonts w:cs="Arial"/>
          <w:szCs w:val="22"/>
          <w:lang w:val="en-US"/>
        </w:rPr>
        <w:t xml:space="preserve">Research group receives funds from the </w:t>
      </w:r>
      <w:proofErr w:type="spellStart"/>
      <w:r w:rsidR="00BC2006" w:rsidRPr="00DB6D42">
        <w:rPr>
          <w:rFonts w:cs="Arial"/>
          <w:szCs w:val="22"/>
          <w:lang w:val="en-US"/>
        </w:rPr>
        <w:t>Agència</w:t>
      </w:r>
      <w:proofErr w:type="spellEnd"/>
      <w:r w:rsidR="00BC2006" w:rsidRPr="00DB6D42">
        <w:rPr>
          <w:rFonts w:cs="Arial"/>
          <w:szCs w:val="22"/>
          <w:lang w:val="en-US"/>
        </w:rPr>
        <w:t xml:space="preserve"> de </w:t>
      </w:r>
      <w:proofErr w:type="spellStart"/>
      <w:r w:rsidR="00BC2006" w:rsidRPr="00DB6D42">
        <w:rPr>
          <w:rFonts w:cs="Arial"/>
          <w:szCs w:val="22"/>
          <w:lang w:val="en-US"/>
        </w:rPr>
        <w:t>Gestiód</w:t>
      </w:r>
      <w:proofErr w:type="spellEnd"/>
      <w:r w:rsidR="00BC2006" w:rsidRPr="00DB6D42">
        <w:rPr>
          <w:rFonts w:cs="Arial"/>
          <w:szCs w:val="22"/>
          <w:lang w:val="en-US"/>
        </w:rPr>
        <w:t>’</w:t>
      </w:r>
      <w:r w:rsidR="008C7C3F" w:rsidRPr="00DB6D42">
        <w:rPr>
          <w:rFonts w:cs="Arial"/>
          <w:szCs w:val="22"/>
          <w:lang w:val="en-US"/>
        </w:rPr>
        <w:t xml:space="preserve"> </w:t>
      </w:r>
      <w:proofErr w:type="spellStart"/>
      <w:r w:rsidR="00BC2006" w:rsidRPr="00DB6D42">
        <w:rPr>
          <w:rFonts w:cs="Arial"/>
          <w:szCs w:val="22"/>
          <w:lang w:val="en-US"/>
        </w:rPr>
        <w:t>Ajuts</w:t>
      </w:r>
      <w:proofErr w:type="spellEnd"/>
      <w:r w:rsidR="008C7C3F" w:rsidRPr="00DB6D42">
        <w:rPr>
          <w:rFonts w:cs="Arial"/>
          <w:szCs w:val="22"/>
          <w:lang w:val="en-US"/>
        </w:rPr>
        <w:t xml:space="preserve"> </w:t>
      </w:r>
      <w:proofErr w:type="spellStart"/>
      <w:r w:rsidR="00BC2006" w:rsidRPr="00DB6D42">
        <w:rPr>
          <w:rFonts w:cs="Arial"/>
          <w:szCs w:val="22"/>
          <w:lang w:val="en-US"/>
        </w:rPr>
        <w:t>Universitarisi</w:t>
      </w:r>
      <w:proofErr w:type="spellEnd"/>
      <w:r w:rsidR="00BC2006" w:rsidRPr="00DB6D42">
        <w:rPr>
          <w:rFonts w:cs="Arial"/>
          <w:szCs w:val="22"/>
          <w:lang w:val="en-US"/>
        </w:rPr>
        <w:t xml:space="preserve"> de </w:t>
      </w:r>
      <w:proofErr w:type="spellStart"/>
      <w:r w:rsidR="00BC2006" w:rsidRPr="00DB6D42">
        <w:rPr>
          <w:rFonts w:cs="Arial"/>
          <w:szCs w:val="22"/>
          <w:lang w:val="en-US"/>
        </w:rPr>
        <w:t>Recerca</w:t>
      </w:r>
      <w:proofErr w:type="spellEnd"/>
      <w:r w:rsidR="00BC2006" w:rsidRPr="00DB6D42">
        <w:rPr>
          <w:rFonts w:cs="Arial"/>
          <w:szCs w:val="22"/>
          <w:lang w:val="en-US"/>
        </w:rPr>
        <w:t xml:space="preserve"> (AGAUR) [grant number </w:t>
      </w:r>
      <w:r w:rsidR="00255594" w:rsidRPr="00DB6D42">
        <w:rPr>
          <w:rFonts w:cs="Arial"/>
          <w:szCs w:val="22"/>
          <w:lang w:val="en-US"/>
        </w:rPr>
        <w:t>2014SGR026</w:t>
      </w:r>
      <w:r w:rsidR="00BC2006" w:rsidRPr="00DB6D42">
        <w:rPr>
          <w:rFonts w:cs="Arial"/>
          <w:szCs w:val="22"/>
          <w:lang w:val="en-US"/>
        </w:rPr>
        <w:t>],</w:t>
      </w:r>
      <w:r w:rsidR="00BF2C53" w:rsidRPr="00DB6D42">
        <w:rPr>
          <w:rFonts w:cs="Arial"/>
          <w:szCs w:val="22"/>
          <w:lang w:val="en-US"/>
        </w:rPr>
        <w:t xml:space="preserve"> </w:t>
      </w:r>
      <w:r w:rsidR="00BC2006" w:rsidRPr="00DB6D42">
        <w:rPr>
          <w:rFonts w:cs="Arial"/>
          <w:szCs w:val="22"/>
          <w:lang w:val="en-US"/>
        </w:rPr>
        <w:t xml:space="preserve">DNDi, CEADES and </w:t>
      </w:r>
      <w:proofErr w:type="spellStart"/>
      <w:r w:rsidR="00FD468F" w:rsidRPr="00DB6D42">
        <w:rPr>
          <w:rFonts w:cs="Arial"/>
          <w:szCs w:val="22"/>
          <w:lang w:val="en-US"/>
        </w:rPr>
        <w:t>ISGlobal</w:t>
      </w:r>
      <w:proofErr w:type="spellEnd"/>
      <w:r w:rsidR="00FD468F" w:rsidRPr="00DB6D42">
        <w:rPr>
          <w:rFonts w:cs="Arial"/>
          <w:szCs w:val="22"/>
          <w:lang w:val="en-US"/>
        </w:rPr>
        <w:t xml:space="preserve"> </w:t>
      </w:r>
      <w:r w:rsidR="00D76A1B" w:rsidRPr="00DB6D42">
        <w:rPr>
          <w:rFonts w:cs="Arial"/>
          <w:szCs w:val="22"/>
          <w:lang w:val="en-US"/>
        </w:rPr>
        <w:t xml:space="preserve">are members of the </w:t>
      </w:r>
      <w:proofErr w:type="spellStart"/>
      <w:r w:rsidR="0045108A" w:rsidRPr="00DB6D42">
        <w:rPr>
          <w:rFonts w:cs="Arial"/>
          <w:szCs w:val="22"/>
          <w:lang w:val="en-US"/>
        </w:rPr>
        <w:t>I</w:t>
      </w:r>
      <w:r w:rsidR="00BC2006" w:rsidRPr="00DB6D42">
        <w:rPr>
          <w:rFonts w:cs="Arial"/>
          <w:szCs w:val="22"/>
          <w:lang w:val="en-US"/>
        </w:rPr>
        <w:t>bero</w:t>
      </w:r>
      <w:proofErr w:type="spellEnd"/>
      <w:r w:rsidR="0045108A" w:rsidRPr="00DB6D42">
        <w:rPr>
          <w:rFonts w:cs="Arial"/>
          <w:szCs w:val="22"/>
          <w:lang w:val="en-US"/>
        </w:rPr>
        <w:t>-A</w:t>
      </w:r>
      <w:r w:rsidR="00BC2006" w:rsidRPr="00DB6D42">
        <w:rPr>
          <w:rFonts w:cs="Arial"/>
          <w:szCs w:val="22"/>
          <w:lang w:val="en-US"/>
        </w:rPr>
        <w:t>merican N</w:t>
      </w:r>
      <w:r w:rsidR="00255594" w:rsidRPr="00DB6D42">
        <w:rPr>
          <w:rFonts w:cs="Arial"/>
          <w:szCs w:val="22"/>
          <w:lang w:val="en-US"/>
        </w:rPr>
        <w:t>H</w:t>
      </w:r>
      <w:r w:rsidR="00BC2006" w:rsidRPr="00DB6D42">
        <w:rPr>
          <w:rFonts w:cs="Arial"/>
          <w:szCs w:val="22"/>
          <w:lang w:val="en-US"/>
        </w:rPr>
        <w:t>EPACHA network (New tools for patients with Chagas disease).</w:t>
      </w:r>
      <w:r w:rsidR="00434FA1" w:rsidRPr="00DB6D42">
        <w:rPr>
          <w:rFonts w:cs="Arial"/>
          <w:szCs w:val="22"/>
          <w:lang w:val="en-US"/>
        </w:rPr>
        <w:t xml:space="preserve"> ICA is supported by NIH/NIMHD grant 2G12MD007592.</w:t>
      </w:r>
    </w:p>
    <w:p w14:paraId="24A9865F" w14:textId="77777777" w:rsidR="00B32B9F" w:rsidRPr="00DB6D42" w:rsidRDefault="00B32B9F" w:rsidP="00BB5FF5">
      <w:pPr>
        <w:spacing w:before="80" w:after="80"/>
        <w:jc w:val="both"/>
        <w:rPr>
          <w:rFonts w:cs="Arial"/>
          <w:b/>
          <w:szCs w:val="22"/>
          <w:lang w:val="en-US"/>
        </w:rPr>
      </w:pPr>
    </w:p>
    <w:p w14:paraId="1694B2F8" w14:textId="77777777" w:rsidR="009340A3" w:rsidRPr="00DB6D42" w:rsidRDefault="009340A3" w:rsidP="00BB5FF5">
      <w:pPr>
        <w:spacing w:before="80" w:after="80"/>
        <w:rPr>
          <w:b/>
          <w:sz w:val="20"/>
          <w:lang w:val="en-US"/>
        </w:rPr>
      </w:pPr>
    </w:p>
    <w:p w14:paraId="61A2A05E" w14:textId="77777777" w:rsidR="002F28B5" w:rsidRPr="00DB6D42" w:rsidRDefault="002F28B5" w:rsidP="00BB5FF5">
      <w:pPr>
        <w:spacing w:after="0"/>
        <w:rPr>
          <w:rFonts w:cs="Arial"/>
          <w:b/>
          <w:szCs w:val="22"/>
          <w:lang w:val="en-US"/>
        </w:rPr>
      </w:pPr>
      <w:r w:rsidRPr="00DB6D42">
        <w:rPr>
          <w:rFonts w:cs="Arial"/>
          <w:b/>
          <w:szCs w:val="22"/>
          <w:lang w:val="en-US"/>
        </w:rPr>
        <w:br w:type="page"/>
      </w:r>
    </w:p>
    <w:p w14:paraId="36EF32E8" w14:textId="00A63C20" w:rsidR="009340A3" w:rsidRPr="00DB6D42" w:rsidRDefault="003A3B99" w:rsidP="00BB5FF5">
      <w:pPr>
        <w:spacing w:before="80" w:after="80"/>
        <w:rPr>
          <w:rFonts w:cs="Arial"/>
          <w:b/>
          <w:szCs w:val="22"/>
          <w:lang w:val="en-US"/>
        </w:rPr>
      </w:pPr>
      <w:r w:rsidRPr="00DB6D42">
        <w:rPr>
          <w:rFonts w:cs="Arial"/>
          <w:b/>
          <w:szCs w:val="22"/>
          <w:lang w:val="en-US"/>
        </w:rPr>
        <w:lastRenderedPageBreak/>
        <w:t>References</w:t>
      </w:r>
      <w:r w:rsidR="00A91915" w:rsidRPr="00DB6D42">
        <w:rPr>
          <w:rFonts w:cs="Arial"/>
          <w:b/>
          <w:szCs w:val="22"/>
          <w:lang w:val="en-US"/>
        </w:rPr>
        <w:t xml:space="preserve"> </w:t>
      </w:r>
    </w:p>
    <w:p w14:paraId="1180B252" w14:textId="77777777" w:rsidR="000A492D" w:rsidRPr="00904534" w:rsidRDefault="00E41460" w:rsidP="00BB5FF5">
      <w:pPr>
        <w:pStyle w:val="NormalWeb"/>
        <w:ind w:left="640" w:hanging="640"/>
        <w:divId w:val="971978305"/>
        <w:rPr>
          <w:rFonts w:ascii="Arial" w:hAnsi="Arial" w:cs="Arial"/>
          <w:noProof/>
          <w:lang w:val="fr-CH"/>
        </w:rPr>
      </w:pPr>
      <w:r w:rsidRPr="00DB6D42">
        <w:rPr>
          <w:b/>
          <w:lang w:val="en-US"/>
        </w:rPr>
        <w:fldChar w:fldCharType="begin" w:fldLock="1"/>
      </w:r>
      <w:r w:rsidR="009340A3" w:rsidRPr="00DB6D42">
        <w:rPr>
          <w:b/>
          <w:lang w:val="en-US"/>
        </w:rPr>
        <w:instrText xml:space="preserve">ADDIN Mendeley Bibliography CSL_BIBLIOGRAPHY </w:instrText>
      </w:r>
      <w:r w:rsidRPr="00DB6D42">
        <w:rPr>
          <w:b/>
          <w:lang w:val="en-US"/>
        </w:rPr>
        <w:fldChar w:fldCharType="separate"/>
      </w:r>
      <w:r w:rsidR="000A492D" w:rsidRPr="00DB6D42">
        <w:rPr>
          <w:rFonts w:ascii="Arial" w:hAnsi="Arial" w:cs="Arial"/>
          <w:noProof/>
        </w:rPr>
        <w:t>1</w:t>
      </w:r>
      <w:r w:rsidR="000A492D" w:rsidRPr="00DB6D42">
        <w:rPr>
          <w:rFonts w:ascii="Arial" w:hAnsi="Arial" w:cs="Arial"/>
          <w:noProof/>
        </w:rPr>
        <w:tab/>
        <w:t xml:space="preserve">World Health Organization. Chagas disease in Latin America: an epidemiological update based on 2010 estimates. </w:t>
      </w:r>
      <w:r w:rsidR="000A492D" w:rsidRPr="00904534">
        <w:rPr>
          <w:rFonts w:ascii="Arial" w:hAnsi="Arial" w:cs="Arial"/>
          <w:i/>
          <w:iCs/>
          <w:noProof/>
          <w:lang w:val="fr-CH"/>
        </w:rPr>
        <w:t>Wkly Epidemiol Rec</w:t>
      </w:r>
      <w:r w:rsidR="000A492D" w:rsidRPr="00904534">
        <w:rPr>
          <w:rFonts w:ascii="Arial" w:hAnsi="Arial" w:cs="Arial"/>
          <w:noProof/>
          <w:lang w:val="fr-CH"/>
        </w:rPr>
        <w:t xml:space="preserve"> 2015; </w:t>
      </w:r>
      <w:r w:rsidR="00282501" w:rsidRPr="00904534">
        <w:rPr>
          <w:rFonts w:ascii="Arial" w:hAnsi="Arial" w:cs="Arial"/>
          <w:b/>
          <w:noProof/>
          <w:lang w:val="fr-CH"/>
        </w:rPr>
        <w:t>90</w:t>
      </w:r>
      <w:r w:rsidR="000A492D" w:rsidRPr="00904534">
        <w:rPr>
          <w:rFonts w:ascii="Arial" w:hAnsi="Arial" w:cs="Arial"/>
          <w:noProof/>
          <w:lang w:val="fr-CH"/>
        </w:rPr>
        <w:t>: 33–44.</w:t>
      </w:r>
    </w:p>
    <w:p w14:paraId="1145A492" w14:textId="77777777" w:rsidR="000A492D" w:rsidRPr="00904534" w:rsidRDefault="00A049D5" w:rsidP="00BB5FF5">
      <w:pPr>
        <w:pStyle w:val="NormalWeb"/>
        <w:ind w:left="640" w:hanging="640"/>
        <w:divId w:val="971978305"/>
        <w:rPr>
          <w:rFonts w:ascii="Arial" w:hAnsi="Arial" w:cs="Arial"/>
          <w:noProof/>
          <w:lang w:val="fr-CH"/>
        </w:rPr>
      </w:pPr>
      <w:r w:rsidRPr="00904534">
        <w:rPr>
          <w:rFonts w:ascii="Arial" w:hAnsi="Arial" w:cs="Arial"/>
          <w:noProof/>
          <w:lang w:val="fr-CH"/>
        </w:rPr>
        <w:t>2</w:t>
      </w:r>
      <w:r w:rsidR="000A492D" w:rsidRPr="00904534">
        <w:rPr>
          <w:rFonts w:ascii="Arial" w:hAnsi="Arial" w:cs="Arial"/>
          <w:noProof/>
          <w:lang w:val="fr-CH"/>
        </w:rPr>
        <w:tab/>
        <w:t xml:space="preserve">Rassi Jr. A, Rassi A, Marin-Neto JA. Chagas disease. </w:t>
      </w:r>
      <w:r w:rsidR="000A492D" w:rsidRPr="00904534">
        <w:rPr>
          <w:rFonts w:ascii="Arial" w:hAnsi="Arial" w:cs="Arial"/>
          <w:i/>
          <w:iCs/>
          <w:noProof/>
          <w:lang w:val="fr-CH"/>
        </w:rPr>
        <w:t>Lancet</w:t>
      </w:r>
      <w:r w:rsidR="000A492D" w:rsidRPr="00904534">
        <w:rPr>
          <w:rFonts w:ascii="Arial" w:hAnsi="Arial" w:cs="Arial"/>
          <w:noProof/>
          <w:lang w:val="fr-CH"/>
        </w:rPr>
        <w:t xml:space="preserve"> 2010; </w:t>
      </w:r>
      <w:r w:rsidR="000A492D" w:rsidRPr="00904534">
        <w:rPr>
          <w:rFonts w:ascii="Arial" w:hAnsi="Arial" w:cs="Arial"/>
          <w:b/>
          <w:bCs/>
          <w:noProof/>
          <w:lang w:val="fr-CH"/>
        </w:rPr>
        <w:t>375</w:t>
      </w:r>
      <w:r w:rsidR="000A492D" w:rsidRPr="00904534">
        <w:rPr>
          <w:rFonts w:ascii="Arial" w:hAnsi="Arial" w:cs="Arial"/>
          <w:noProof/>
          <w:lang w:val="fr-CH"/>
        </w:rPr>
        <w:t>: 1388–402.</w:t>
      </w:r>
    </w:p>
    <w:p w14:paraId="37C73208" w14:textId="77777777" w:rsidR="000A492D" w:rsidRPr="00DB6D42" w:rsidRDefault="00A049D5" w:rsidP="00BB5FF5">
      <w:pPr>
        <w:pStyle w:val="NormalWeb"/>
        <w:ind w:left="640" w:hanging="640"/>
        <w:divId w:val="971978305"/>
        <w:rPr>
          <w:rFonts w:ascii="Arial" w:hAnsi="Arial" w:cs="Arial"/>
          <w:noProof/>
        </w:rPr>
      </w:pPr>
      <w:r w:rsidRPr="00904534">
        <w:rPr>
          <w:rFonts w:ascii="Arial" w:hAnsi="Arial" w:cs="Arial"/>
          <w:noProof/>
          <w:lang w:val="fr-CH"/>
        </w:rPr>
        <w:t>3</w:t>
      </w:r>
      <w:r w:rsidR="000A492D" w:rsidRPr="00904534">
        <w:rPr>
          <w:rFonts w:ascii="Arial" w:hAnsi="Arial" w:cs="Arial"/>
          <w:noProof/>
          <w:lang w:val="fr-CH"/>
        </w:rPr>
        <w:tab/>
        <w:t xml:space="preserve">Diez M, Favaloro L, Bertolotti A, </w:t>
      </w:r>
      <w:r w:rsidR="000A492D" w:rsidRPr="00904534">
        <w:rPr>
          <w:rFonts w:ascii="Arial" w:hAnsi="Arial" w:cs="Arial"/>
          <w:i/>
          <w:iCs/>
          <w:noProof/>
          <w:lang w:val="fr-CH"/>
        </w:rPr>
        <w:t>et al.</w:t>
      </w:r>
      <w:r w:rsidR="000A492D" w:rsidRPr="00904534">
        <w:rPr>
          <w:rFonts w:ascii="Arial" w:hAnsi="Arial" w:cs="Arial"/>
          <w:noProof/>
          <w:lang w:val="fr-CH"/>
        </w:rPr>
        <w:t xml:space="preserve"> </w:t>
      </w:r>
      <w:r w:rsidR="000A492D" w:rsidRPr="00DB6D42">
        <w:rPr>
          <w:rFonts w:ascii="Arial" w:hAnsi="Arial" w:cs="Arial"/>
          <w:noProof/>
        </w:rPr>
        <w:t xml:space="preserve">Usefulness of PCR strategies for early diagnosis of Chagas’ disease reactivation and treatment follow-up in heart transplantation. </w:t>
      </w:r>
      <w:r w:rsidR="000A492D" w:rsidRPr="00DB6D42">
        <w:rPr>
          <w:rFonts w:ascii="Arial" w:hAnsi="Arial" w:cs="Arial"/>
          <w:i/>
          <w:iCs/>
          <w:noProof/>
        </w:rPr>
        <w:t>Am J Transplant</w:t>
      </w:r>
      <w:r w:rsidR="000A492D" w:rsidRPr="00DB6D42">
        <w:rPr>
          <w:rFonts w:ascii="Arial" w:hAnsi="Arial" w:cs="Arial"/>
          <w:noProof/>
        </w:rPr>
        <w:t xml:space="preserve"> 2007; </w:t>
      </w:r>
      <w:r w:rsidR="000A492D" w:rsidRPr="00DB6D42">
        <w:rPr>
          <w:rFonts w:ascii="Arial" w:hAnsi="Arial" w:cs="Arial"/>
          <w:b/>
          <w:bCs/>
          <w:noProof/>
        </w:rPr>
        <w:t>7</w:t>
      </w:r>
      <w:r w:rsidR="000A492D" w:rsidRPr="00DB6D42">
        <w:rPr>
          <w:rFonts w:ascii="Arial" w:hAnsi="Arial" w:cs="Arial"/>
          <w:noProof/>
        </w:rPr>
        <w:t>: 1633–40.</w:t>
      </w:r>
    </w:p>
    <w:p w14:paraId="6FD73133" w14:textId="77777777" w:rsidR="000A492D" w:rsidRPr="00DB6D42" w:rsidRDefault="00A049D5" w:rsidP="00BB5FF5">
      <w:pPr>
        <w:pStyle w:val="NormalWeb"/>
        <w:ind w:left="640" w:hanging="640"/>
        <w:divId w:val="971978305"/>
        <w:rPr>
          <w:rFonts w:ascii="Arial" w:hAnsi="Arial" w:cs="Arial"/>
          <w:noProof/>
          <w:lang w:val="pt-BR"/>
        </w:rPr>
      </w:pPr>
      <w:r w:rsidRPr="00DB6D42">
        <w:rPr>
          <w:rFonts w:ascii="Arial" w:hAnsi="Arial" w:cs="Arial"/>
          <w:noProof/>
        </w:rPr>
        <w:t>4</w:t>
      </w:r>
      <w:r w:rsidR="000A492D" w:rsidRPr="00DB6D42">
        <w:rPr>
          <w:rFonts w:ascii="Arial" w:hAnsi="Arial" w:cs="Arial"/>
          <w:noProof/>
        </w:rPr>
        <w:tab/>
        <w:t xml:space="preserve">Pinazo M-J, Guerrero L, Posada E, Rodríguez E, Soy D, Gascon J. Benznidazole-related adverse drug reactions and their relationship to serum drug concentrations in patients with chronic chagas disease. </w:t>
      </w:r>
      <w:r w:rsidR="000A492D" w:rsidRPr="00DB6D42">
        <w:rPr>
          <w:rFonts w:ascii="Arial" w:hAnsi="Arial" w:cs="Arial"/>
          <w:i/>
          <w:iCs/>
          <w:noProof/>
          <w:lang w:val="pt-BR"/>
        </w:rPr>
        <w:t>Antimicrob Agents Chemother</w:t>
      </w:r>
      <w:r w:rsidR="000A492D" w:rsidRPr="00DB6D42">
        <w:rPr>
          <w:rFonts w:ascii="Arial" w:hAnsi="Arial" w:cs="Arial"/>
          <w:noProof/>
          <w:lang w:val="pt-BR"/>
        </w:rPr>
        <w:t xml:space="preserve"> 2013; </w:t>
      </w:r>
      <w:r w:rsidR="000A492D" w:rsidRPr="00DB6D42">
        <w:rPr>
          <w:rFonts w:ascii="Arial" w:hAnsi="Arial" w:cs="Arial"/>
          <w:b/>
          <w:bCs/>
          <w:noProof/>
          <w:lang w:val="pt-BR"/>
        </w:rPr>
        <w:t>57</w:t>
      </w:r>
      <w:r w:rsidR="000A492D" w:rsidRPr="00DB6D42">
        <w:rPr>
          <w:rFonts w:ascii="Arial" w:hAnsi="Arial" w:cs="Arial"/>
          <w:noProof/>
          <w:lang w:val="pt-BR"/>
        </w:rPr>
        <w:t>: 390–5.</w:t>
      </w:r>
    </w:p>
    <w:p w14:paraId="3C5FEFEE" w14:textId="394FA31E" w:rsidR="000A492D" w:rsidRPr="00DB6D42" w:rsidRDefault="00A049D5" w:rsidP="00BB5FF5">
      <w:pPr>
        <w:pStyle w:val="NormalWeb"/>
        <w:ind w:left="640" w:hanging="640"/>
        <w:divId w:val="971978305"/>
        <w:rPr>
          <w:rFonts w:ascii="Arial" w:hAnsi="Arial" w:cs="Arial"/>
          <w:noProof/>
        </w:rPr>
      </w:pPr>
      <w:r w:rsidRPr="00DB6D42">
        <w:rPr>
          <w:rFonts w:ascii="Arial" w:hAnsi="Arial" w:cs="Arial"/>
          <w:noProof/>
          <w:lang w:val="pt-BR"/>
        </w:rPr>
        <w:t>5</w:t>
      </w:r>
      <w:r w:rsidR="000A492D" w:rsidRPr="00DB6D42">
        <w:rPr>
          <w:rFonts w:ascii="Arial" w:hAnsi="Arial" w:cs="Arial"/>
          <w:noProof/>
          <w:lang w:val="pt-BR"/>
        </w:rPr>
        <w:tab/>
        <w:t xml:space="preserve">Castro AM, </w:t>
      </w:r>
      <w:r w:rsidR="00282501" w:rsidRPr="00DB6D42">
        <w:rPr>
          <w:rFonts w:ascii="Arial" w:hAnsi="Arial" w:cs="Arial"/>
          <w:noProof/>
          <w:lang w:val="pt-BR"/>
        </w:rPr>
        <w:t>Luquetti AO, Rassi A, Rassi GG, Chiari E, Galvão LM.</w:t>
      </w:r>
      <w:r w:rsidR="000A492D" w:rsidRPr="00DB6D42">
        <w:rPr>
          <w:rFonts w:ascii="Arial" w:hAnsi="Arial" w:cs="Arial"/>
          <w:noProof/>
          <w:lang w:val="pt-BR"/>
        </w:rPr>
        <w:t xml:space="preserve"> </w:t>
      </w:r>
      <w:r w:rsidR="000A492D" w:rsidRPr="00DB6D42">
        <w:rPr>
          <w:rFonts w:ascii="Arial" w:hAnsi="Arial" w:cs="Arial"/>
          <w:noProof/>
        </w:rPr>
        <w:t xml:space="preserve">Blood culture and polymerase chain reaction for the diagnosis of the chronic phase of human infection with Trypanosoma cruzi. </w:t>
      </w:r>
      <w:r w:rsidR="000A492D" w:rsidRPr="00DB6D42">
        <w:rPr>
          <w:rFonts w:ascii="Arial" w:hAnsi="Arial" w:cs="Arial"/>
          <w:i/>
          <w:iCs/>
          <w:noProof/>
        </w:rPr>
        <w:t>Parasitol Res</w:t>
      </w:r>
      <w:r w:rsidR="000A492D" w:rsidRPr="00DB6D42">
        <w:rPr>
          <w:rFonts w:ascii="Arial" w:hAnsi="Arial" w:cs="Arial"/>
          <w:noProof/>
        </w:rPr>
        <w:t xml:space="preserve"> 2002; </w:t>
      </w:r>
      <w:r w:rsidR="000A492D" w:rsidRPr="00DB6D42">
        <w:rPr>
          <w:rFonts w:ascii="Arial" w:hAnsi="Arial" w:cs="Arial"/>
          <w:b/>
          <w:bCs/>
          <w:noProof/>
        </w:rPr>
        <w:t>88</w:t>
      </w:r>
      <w:r w:rsidR="000A492D" w:rsidRPr="00DB6D42">
        <w:rPr>
          <w:rFonts w:ascii="Arial" w:hAnsi="Arial" w:cs="Arial"/>
          <w:noProof/>
        </w:rPr>
        <w:t>: 894–900.</w:t>
      </w:r>
    </w:p>
    <w:p w14:paraId="47845653" w14:textId="3F31900A" w:rsidR="000A492D" w:rsidRPr="00DB6D42" w:rsidRDefault="000C4EF7" w:rsidP="00BB5FF5">
      <w:pPr>
        <w:pStyle w:val="NormalWeb"/>
        <w:ind w:left="640" w:hanging="640"/>
        <w:divId w:val="971978305"/>
        <w:rPr>
          <w:rFonts w:ascii="Arial" w:hAnsi="Arial" w:cs="Arial"/>
          <w:noProof/>
        </w:rPr>
      </w:pPr>
      <w:r w:rsidRPr="00DB6D42">
        <w:rPr>
          <w:rFonts w:ascii="Arial" w:hAnsi="Arial" w:cs="Arial"/>
          <w:noProof/>
        </w:rPr>
        <w:t>6</w:t>
      </w:r>
      <w:r w:rsidR="000A492D" w:rsidRPr="00DB6D42">
        <w:rPr>
          <w:rFonts w:ascii="Arial" w:hAnsi="Arial" w:cs="Arial"/>
          <w:noProof/>
        </w:rPr>
        <w:tab/>
        <w:t xml:space="preserve">Coura JR. The discovery of Chagas disease ( 1908-1909 ): great successes and certain misunderstandings and challenges. </w:t>
      </w:r>
      <w:r w:rsidR="000A492D" w:rsidRPr="00DB6D42">
        <w:rPr>
          <w:rFonts w:ascii="Arial" w:hAnsi="Arial" w:cs="Arial"/>
          <w:i/>
          <w:iCs/>
          <w:noProof/>
        </w:rPr>
        <w:t>Rev Soc Bras Med Trop</w:t>
      </w:r>
      <w:r w:rsidR="000A492D" w:rsidRPr="00DB6D42">
        <w:rPr>
          <w:rFonts w:ascii="Arial" w:hAnsi="Arial" w:cs="Arial"/>
          <w:noProof/>
        </w:rPr>
        <w:t xml:space="preserve"> 2013; </w:t>
      </w:r>
      <w:r w:rsidR="000A492D" w:rsidRPr="00DB6D42">
        <w:rPr>
          <w:rFonts w:ascii="Arial" w:hAnsi="Arial" w:cs="Arial"/>
          <w:b/>
          <w:bCs/>
          <w:noProof/>
        </w:rPr>
        <w:t>46</w:t>
      </w:r>
      <w:r w:rsidR="000A492D" w:rsidRPr="00DB6D42">
        <w:rPr>
          <w:rFonts w:ascii="Arial" w:hAnsi="Arial" w:cs="Arial"/>
          <w:noProof/>
        </w:rPr>
        <w:t>: 389–90.</w:t>
      </w:r>
    </w:p>
    <w:p w14:paraId="3AF09854" w14:textId="6B6F96D0" w:rsidR="000A492D" w:rsidRPr="00904534" w:rsidRDefault="000C4EF7" w:rsidP="00BB5FF5">
      <w:pPr>
        <w:pStyle w:val="NormalWeb"/>
        <w:ind w:left="640" w:hanging="640"/>
        <w:divId w:val="971978305"/>
        <w:rPr>
          <w:rFonts w:ascii="Arial" w:hAnsi="Arial" w:cs="Arial"/>
          <w:noProof/>
          <w:lang w:val="fr-CH"/>
        </w:rPr>
      </w:pPr>
      <w:r w:rsidRPr="00DB6D42">
        <w:rPr>
          <w:rFonts w:ascii="Arial" w:hAnsi="Arial" w:cs="Arial"/>
          <w:noProof/>
        </w:rPr>
        <w:t>7</w:t>
      </w:r>
      <w:r w:rsidR="000A492D" w:rsidRPr="00DB6D42">
        <w:rPr>
          <w:rFonts w:ascii="Arial" w:hAnsi="Arial" w:cs="Arial"/>
          <w:noProof/>
        </w:rPr>
        <w:tab/>
        <w:t xml:space="preserve">Jackson Y, Alirol E, Getaz L, Wolff H, Combescure C, Chappuis F. Tolerance and Safety of Nifurtimox in Patients with Chronic Chagas Disease. </w:t>
      </w:r>
      <w:r w:rsidR="000A492D" w:rsidRPr="00904534">
        <w:rPr>
          <w:rFonts w:ascii="Arial" w:hAnsi="Arial" w:cs="Arial"/>
          <w:i/>
          <w:iCs/>
          <w:noProof/>
          <w:lang w:val="fr-CH"/>
        </w:rPr>
        <w:t>Clin Infect Dis</w:t>
      </w:r>
      <w:r w:rsidR="000A492D" w:rsidRPr="00904534">
        <w:rPr>
          <w:rFonts w:ascii="Arial" w:hAnsi="Arial" w:cs="Arial"/>
          <w:noProof/>
          <w:lang w:val="fr-CH"/>
        </w:rPr>
        <w:t xml:space="preserve"> 2010; </w:t>
      </w:r>
      <w:r w:rsidR="000A492D" w:rsidRPr="00904534">
        <w:rPr>
          <w:rFonts w:ascii="Arial" w:hAnsi="Arial" w:cs="Arial"/>
          <w:b/>
          <w:bCs/>
          <w:noProof/>
          <w:lang w:val="fr-CH"/>
        </w:rPr>
        <w:t>51</w:t>
      </w:r>
      <w:r w:rsidR="000A492D" w:rsidRPr="00904534">
        <w:rPr>
          <w:rFonts w:ascii="Arial" w:hAnsi="Arial" w:cs="Arial"/>
          <w:noProof/>
          <w:lang w:val="fr-CH"/>
        </w:rPr>
        <w:t>. DOI:10.1086/656917.</w:t>
      </w:r>
    </w:p>
    <w:p w14:paraId="3B1090C1" w14:textId="32F998D5" w:rsidR="000A492D" w:rsidRPr="00DB6D42" w:rsidRDefault="000C4EF7" w:rsidP="00BB5FF5">
      <w:pPr>
        <w:pStyle w:val="NormalWeb"/>
        <w:ind w:left="640" w:hanging="640"/>
        <w:divId w:val="971978305"/>
        <w:rPr>
          <w:rFonts w:ascii="Arial" w:hAnsi="Arial" w:cs="Arial"/>
          <w:noProof/>
        </w:rPr>
      </w:pPr>
      <w:r w:rsidRPr="00904534">
        <w:rPr>
          <w:rFonts w:ascii="Arial" w:hAnsi="Arial" w:cs="Arial"/>
          <w:noProof/>
          <w:lang w:val="fr-CH"/>
        </w:rPr>
        <w:t>8</w:t>
      </w:r>
      <w:r w:rsidR="000A492D" w:rsidRPr="00904534">
        <w:rPr>
          <w:rFonts w:ascii="Arial" w:hAnsi="Arial" w:cs="Arial"/>
          <w:noProof/>
          <w:lang w:val="fr-CH"/>
        </w:rPr>
        <w:tab/>
        <w:t xml:space="preserve">Pinazo M-J, Munoz J, Posado E, </w:t>
      </w:r>
      <w:r w:rsidR="000A492D" w:rsidRPr="00904534">
        <w:rPr>
          <w:rFonts w:ascii="Arial" w:hAnsi="Arial" w:cs="Arial"/>
          <w:i/>
          <w:iCs/>
          <w:noProof/>
          <w:lang w:val="fr-CH"/>
        </w:rPr>
        <w:t>et al.</w:t>
      </w:r>
      <w:r w:rsidR="000A492D" w:rsidRPr="00904534">
        <w:rPr>
          <w:rFonts w:ascii="Arial" w:hAnsi="Arial" w:cs="Arial"/>
          <w:noProof/>
          <w:lang w:val="fr-CH"/>
        </w:rPr>
        <w:t xml:space="preserve"> </w:t>
      </w:r>
      <w:r w:rsidR="000A492D" w:rsidRPr="00DB6D42">
        <w:rPr>
          <w:rFonts w:ascii="Arial" w:hAnsi="Arial" w:cs="Arial"/>
          <w:noProof/>
        </w:rPr>
        <w:t xml:space="preserve">Tolerance of Benznidazole in Treatment of Chagas ’ Disease in Adults. </w:t>
      </w:r>
      <w:r w:rsidR="000A492D" w:rsidRPr="00DB6D42">
        <w:rPr>
          <w:rFonts w:ascii="Arial" w:hAnsi="Arial" w:cs="Arial"/>
          <w:i/>
          <w:iCs/>
          <w:noProof/>
        </w:rPr>
        <w:t>Antimicrob Agents Chemother</w:t>
      </w:r>
      <w:r w:rsidR="000A492D" w:rsidRPr="00DB6D42">
        <w:rPr>
          <w:rFonts w:ascii="Arial" w:hAnsi="Arial" w:cs="Arial"/>
          <w:noProof/>
        </w:rPr>
        <w:t xml:space="preserve"> 2010; </w:t>
      </w:r>
      <w:r w:rsidR="000A492D" w:rsidRPr="00DB6D42">
        <w:rPr>
          <w:rFonts w:ascii="Arial" w:hAnsi="Arial" w:cs="Arial"/>
          <w:b/>
          <w:bCs/>
          <w:noProof/>
        </w:rPr>
        <w:t>54</w:t>
      </w:r>
      <w:r w:rsidR="000A492D" w:rsidRPr="00DB6D42">
        <w:rPr>
          <w:rFonts w:ascii="Arial" w:hAnsi="Arial" w:cs="Arial"/>
          <w:noProof/>
        </w:rPr>
        <w:t>: 4896–9.</w:t>
      </w:r>
    </w:p>
    <w:p w14:paraId="058E0579" w14:textId="2C68F32E" w:rsidR="000A492D" w:rsidRPr="00DB6D42" w:rsidRDefault="000C4EF7" w:rsidP="00BB5FF5">
      <w:pPr>
        <w:pStyle w:val="NormalWeb"/>
        <w:ind w:left="640" w:hanging="640"/>
        <w:divId w:val="971978305"/>
        <w:rPr>
          <w:rFonts w:ascii="Arial" w:hAnsi="Arial" w:cs="Arial"/>
          <w:noProof/>
        </w:rPr>
      </w:pPr>
      <w:r w:rsidRPr="00DB6D42">
        <w:rPr>
          <w:rFonts w:ascii="Arial" w:hAnsi="Arial" w:cs="Arial"/>
          <w:noProof/>
        </w:rPr>
        <w:t>9</w:t>
      </w:r>
      <w:r w:rsidR="000A492D" w:rsidRPr="00DB6D42">
        <w:rPr>
          <w:rFonts w:ascii="Arial" w:hAnsi="Arial" w:cs="Arial"/>
          <w:noProof/>
        </w:rPr>
        <w:tab/>
        <w:t xml:space="preserve">Buckner FS. Sterol 14-demethylase inhibitors for Trypanosoma cruzi infections. </w:t>
      </w:r>
      <w:r w:rsidR="000A492D" w:rsidRPr="00DB6D42">
        <w:rPr>
          <w:rFonts w:ascii="Arial" w:hAnsi="Arial" w:cs="Arial"/>
          <w:i/>
          <w:iCs/>
          <w:noProof/>
        </w:rPr>
        <w:t>Adv Exp Med Biol</w:t>
      </w:r>
      <w:r w:rsidR="000A492D" w:rsidRPr="00DB6D42">
        <w:rPr>
          <w:rFonts w:ascii="Arial" w:hAnsi="Arial" w:cs="Arial"/>
          <w:noProof/>
        </w:rPr>
        <w:t xml:space="preserve"> 2008; </w:t>
      </w:r>
      <w:r w:rsidR="000A492D" w:rsidRPr="00DB6D42">
        <w:rPr>
          <w:rFonts w:ascii="Arial" w:hAnsi="Arial" w:cs="Arial"/>
          <w:b/>
          <w:bCs/>
          <w:noProof/>
        </w:rPr>
        <w:t>625</w:t>
      </w:r>
      <w:r w:rsidR="000A492D" w:rsidRPr="00DB6D42">
        <w:rPr>
          <w:rFonts w:ascii="Arial" w:hAnsi="Arial" w:cs="Arial"/>
          <w:noProof/>
        </w:rPr>
        <w:t>: 61–80.</w:t>
      </w:r>
    </w:p>
    <w:p w14:paraId="34749FC4" w14:textId="5145F058" w:rsidR="000A492D" w:rsidRPr="00DB6D42" w:rsidRDefault="000A492D" w:rsidP="00BB5FF5">
      <w:pPr>
        <w:pStyle w:val="NormalWeb"/>
        <w:ind w:left="640" w:hanging="640"/>
        <w:divId w:val="971978305"/>
        <w:rPr>
          <w:rFonts w:ascii="Arial" w:hAnsi="Arial" w:cs="Arial"/>
          <w:noProof/>
        </w:rPr>
      </w:pPr>
      <w:r w:rsidRPr="00DB6D42">
        <w:rPr>
          <w:rFonts w:ascii="Arial" w:hAnsi="Arial" w:cs="Arial"/>
          <w:noProof/>
        </w:rPr>
        <w:t>1</w:t>
      </w:r>
      <w:r w:rsidR="000C4EF7" w:rsidRPr="00DB6D42">
        <w:rPr>
          <w:rFonts w:ascii="Arial" w:hAnsi="Arial" w:cs="Arial"/>
          <w:noProof/>
        </w:rPr>
        <w:t>0</w:t>
      </w:r>
      <w:r w:rsidRPr="00DB6D42">
        <w:rPr>
          <w:rFonts w:ascii="Arial" w:hAnsi="Arial" w:cs="Arial"/>
          <w:noProof/>
        </w:rPr>
        <w:tab/>
        <w:t xml:space="preserve">Diniz LDF, Caldas IS, Guedes PMDM, </w:t>
      </w:r>
      <w:r w:rsidRPr="00DB6D42">
        <w:rPr>
          <w:rFonts w:ascii="Arial" w:hAnsi="Arial" w:cs="Arial"/>
          <w:i/>
          <w:iCs/>
          <w:noProof/>
        </w:rPr>
        <w:t>et al.</w:t>
      </w:r>
      <w:r w:rsidRPr="00DB6D42">
        <w:rPr>
          <w:rFonts w:ascii="Arial" w:hAnsi="Arial" w:cs="Arial"/>
          <w:noProof/>
        </w:rPr>
        <w:t xml:space="preserve"> Effects of ravuconazole treatment on parasite load and immune response in dogs experimentally infected with Trypanosoma cruzi. </w:t>
      </w:r>
      <w:r w:rsidRPr="00DB6D42">
        <w:rPr>
          <w:rFonts w:ascii="Arial" w:hAnsi="Arial" w:cs="Arial"/>
          <w:i/>
          <w:iCs/>
          <w:noProof/>
        </w:rPr>
        <w:t>Antimicrob Agents Chemother</w:t>
      </w:r>
      <w:r w:rsidRPr="00DB6D42">
        <w:rPr>
          <w:rFonts w:ascii="Arial" w:hAnsi="Arial" w:cs="Arial"/>
          <w:noProof/>
        </w:rPr>
        <w:t xml:space="preserve"> 2010; </w:t>
      </w:r>
      <w:r w:rsidRPr="00DB6D42">
        <w:rPr>
          <w:rFonts w:ascii="Arial" w:hAnsi="Arial" w:cs="Arial"/>
          <w:b/>
          <w:bCs/>
          <w:noProof/>
        </w:rPr>
        <w:t>54</w:t>
      </w:r>
      <w:r w:rsidRPr="00DB6D42">
        <w:rPr>
          <w:rFonts w:ascii="Arial" w:hAnsi="Arial" w:cs="Arial"/>
          <w:noProof/>
        </w:rPr>
        <w:t>: 2979–86.</w:t>
      </w:r>
    </w:p>
    <w:p w14:paraId="25A15CC2" w14:textId="286AEFF8" w:rsidR="000A492D" w:rsidRPr="00DB6D42" w:rsidRDefault="00A049D5" w:rsidP="00BB5FF5">
      <w:pPr>
        <w:pStyle w:val="NormalWeb"/>
        <w:ind w:left="640" w:hanging="640"/>
        <w:divId w:val="971978305"/>
        <w:rPr>
          <w:rFonts w:ascii="Arial" w:hAnsi="Arial" w:cs="Arial"/>
          <w:noProof/>
          <w:lang w:val="es-ES"/>
        </w:rPr>
      </w:pPr>
      <w:r w:rsidRPr="00DB6D42">
        <w:rPr>
          <w:rFonts w:ascii="Arial" w:hAnsi="Arial" w:cs="Arial"/>
          <w:noProof/>
        </w:rPr>
        <w:t>1</w:t>
      </w:r>
      <w:r w:rsidR="000C4EF7" w:rsidRPr="00DB6D42">
        <w:rPr>
          <w:rFonts w:ascii="Arial" w:hAnsi="Arial" w:cs="Arial"/>
          <w:noProof/>
        </w:rPr>
        <w:t>1</w:t>
      </w:r>
      <w:r w:rsidR="000A492D" w:rsidRPr="00DB6D42">
        <w:rPr>
          <w:rFonts w:ascii="Arial" w:hAnsi="Arial" w:cs="Arial"/>
          <w:noProof/>
        </w:rPr>
        <w:tab/>
        <w:t xml:space="preserve">Urbina J a. Specific chemotherapy of Chagas disease: relevance, current limitations and new approaches. </w:t>
      </w:r>
      <w:r w:rsidR="000A492D" w:rsidRPr="00DB6D42">
        <w:rPr>
          <w:rFonts w:ascii="Arial" w:hAnsi="Arial" w:cs="Arial"/>
          <w:i/>
          <w:iCs/>
          <w:noProof/>
          <w:lang w:val="es-ES"/>
        </w:rPr>
        <w:t>Acta Trop</w:t>
      </w:r>
      <w:r w:rsidR="000A492D" w:rsidRPr="00DB6D42">
        <w:rPr>
          <w:rFonts w:ascii="Arial" w:hAnsi="Arial" w:cs="Arial"/>
          <w:noProof/>
          <w:lang w:val="es-ES"/>
        </w:rPr>
        <w:t xml:space="preserve"> 2010; </w:t>
      </w:r>
      <w:r w:rsidR="000A492D" w:rsidRPr="00DB6D42">
        <w:rPr>
          <w:rFonts w:ascii="Arial" w:hAnsi="Arial" w:cs="Arial"/>
          <w:b/>
          <w:bCs/>
          <w:noProof/>
          <w:lang w:val="es-ES"/>
        </w:rPr>
        <w:t>115</w:t>
      </w:r>
      <w:r w:rsidR="000A492D" w:rsidRPr="00DB6D42">
        <w:rPr>
          <w:rFonts w:ascii="Arial" w:hAnsi="Arial" w:cs="Arial"/>
          <w:noProof/>
          <w:lang w:val="es-ES"/>
        </w:rPr>
        <w:t>: 55–68.</w:t>
      </w:r>
    </w:p>
    <w:p w14:paraId="3A7051B9" w14:textId="2984D0A4" w:rsidR="000A492D" w:rsidRPr="00DB6D42" w:rsidRDefault="00A049D5" w:rsidP="00BB5FF5">
      <w:pPr>
        <w:pStyle w:val="NormalWeb"/>
        <w:ind w:left="640" w:hanging="640"/>
        <w:divId w:val="971978305"/>
        <w:rPr>
          <w:rFonts w:ascii="Arial" w:hAnsi="Arial" w:cs="Arial"/>
          <w:noProof/>
          <w:lang w:val="fr-CH"/>
        </w:rPr>
      </w:pPr>
      <w:r w:rsidRPr="00DB6D42">
        <w:rPr>
          <w:rFonts w:ascii="Arial" w:hAnsi="Arial" w:cs="Arial"/>
          <w:noProof/>
          <w:lang w:val="de-CH"/>
        </w:rPr>
        <w:t>1</w:t>
      </w:r>
      <w:r w:rsidR="000C4EF7" w:rsidRPr="00DB6D42">
        <w:rPr>
          <w:rFonts w:ascii="Arial" w:hAnsi="Arial" w:cs="Arial"/>
          <w:noProof/>
          <w:lang w:val="de-CH"/>
        </w:rPr>
        <w:t>2</w:t>
      </w:r>
      <w:r w:rsidR="000A492D" w:rsidRPr="00DB6D42">
        <w:rPr>
          <w:rFonts w:ascii="Arial" w:hAnsi="Arial" w:cs="Arial"/>
          <w:noProof/>
          <w:lang w:val="de-CH"/>
        </w:rPr>
        <w:tab/>
        <w:t xml:space="preserve">Schijman AG, Bisio M, Orellana L, </w:t>
      </w:r>
      <w:r w:rsidR="000A492D" w:rsidRPr="00DB6D42">
        <w:rPr>
          <w:rFonts w:ascii="Arial" w:hAnsi="Arial" w:cs="Arial"/>
          <w:i/>
          <w:iCs/>
          <w:noProof/>
          <w:lang w:val="de-CH"/>
        </w:rPr>
        <w:t>et al.</w:t>
      </w:r>
      <w:r w:rsidR="000A492D" w:rsidRPr="00DB6D42">
        <w:rPr>
          <w:rFonts w:ascii="Arial" w:hAnsi="Arial" w:cs="Arial"/>
          <w:noProof/>
          <w:lang w:val="de-CH"/>
        </w:rPr>
        <w:t xml:space="preserve"> </w:t>
      </w:r>
      <w:r w:rsidR="000A492D" w:rsidRPr="00DB6D42">
        <w:rPr>
          <w:rFonts w:ascii="Arial" w:hAnsi="Arial" w:cs="Arial"/>
          <w:noProof/>
        </w:rPr>
        <w:t xml:space="preserve">International study to evaluate PCR methods for detection of Trypanosoma cruzi DNA in blood samples from Chagas disease patients. </w:t>
      </w:r>
      <w:r w:rsidR="000A492D" w:rsidRPr="00DB6D42">
        <w:rPr>
          <w:rFonts w:ascii="Arial" w:hAnsi="Arial" w:cs="Arial"/>
          <w:i/>
          <w:iCs/>
          <w:noProof/>
          <w:lang w:val="fr-CH"/>
        </w:rPr>
        <w:t>PLoS Negl Trop Dis</w:t>
      </w:r>
      <w:r w:rsidR="000A492D" w:rsidRPr="00DB6D42">
        <w:rPr>
          <w:rFonts w:ascii="Arial" w:hAnsi="Arial" w:cs="Arial"/>
          <w:noProof/>
          <w:lang w:val="fr-CH"/>
        </w:rPr>
        <w:t xml:space="preserve"> 2011; </w:t>
      </w:r>
      <w:r w:rsidR="000A492D" w:rsidRPr="00DB6D42">
        <w:rPr>
          <w:rFonts w:ascii="Arial" w:hAnsi="Arial" w:cs="Arial"/>
          <w:b/>
          <w:bCs/>
          <w:noProof/>
          <w:lang w:val="fr-CH"/>
        </w:rPr>
        <w:t>5</w:t>
      </w:r>
      <w:r w:rsidR="000A492D" w:rsidRPr="00DB6D42">
        <w:rPr>
          <w:rFonts w:ascii="Arial" w:hAnsi="Arial" w:cs="Arial"/>
          <w:noProof/>
          <w:lang w:val="fr-CH"/>
        </w:rPr>
        <w:t>: e931.</w:t>
      </w:r>
    </w:p>
    <w:p w14:paraId="01FBF87B" w14:textId="6744EB5B" w:rsidR="000A492D" w:rsidRPr="00DB6D42" w:rsidRDefault="00A049D5" w:rsidP="00BB5FF5">
      <w:pPr>
        <w:pStyle w:val="NormalWeb"/>
        <w:ind w:left="640" w:hanging="640"/>
        <w:divId w:val="971978305"/>
        <w:rPr>
          <w:rFonts w:ascii="Arial" w:hAnsi="Arial" w:cs="Arial"/>
          <w:noProof/>
        </w:rPr>
      </w:pPr>
      <w:r w:rsidRPr="00DB6D42">
        <w:rPr>
          <w:rFonts w:ascii="Arial" w:hAnsi="Arial" w:cs="Arial"/>
          <w:noProof/>
          <w:lang w:val="fr-CH"/>
        </w:rPr>
        <w:t>1</w:t>
      </w:r>
      <w:r w:rsidR="000C4EF7" w:rsidRPr="00DB6D42">
        <w:rPr>
          <w:rFonts w:ascii="Arial" w:hAnsi="Arial" w:cs="Arial"/>
          <w:noProof/>
          <w:lang w:val="fr-CH"/>
        </w:rPr>
        <w:t>3</w:t>
      </w:r>
      <w:r w:rsidR="000A492D" w:rsidRPr="00DB6D42">
        <w:rPr>
          <w:rFonts w:ascii="Arial" w:hAnsi="Arial" w:cs="Arial"/>
          <w:noProof/>
          <w:lang w:val="fr-CH"/>
        </w:rPr>
        <w:tab/>
        <w:t xml:space="preserve">Duffy T, Cura CI, Ramirez JC, </w:t>
      </w:r>
      <w:r w:rsidR="000A492D" w:rsidRPr="00DB6D42">
        <w:rPr>
          <w:rFonts w:ascii="Arial" w:hAnsi="Arial" w:cs="Arial"/>
          <w:i/>
          <w:iCs/>
          <w:noProof/>
          <w:lang w:val="fr-CH"/>
        </w:rPr>
        <w:t>et al.</w:t>
      </w:r>
      <w:r w:rsidR="000A492D" w:rsidRPr="00DB6D42">
        <w:rPr>
          <w:rFonts w:ascii="Arial" w:hAnsi="Arial" w:cs="Arial"/>
          <w:noProof/>
          <w:lang w:val="fr-CH"/>
        </w:rPr>
        <w:t xml:space="preserve"> </w:t>
      </w:r>
      <w:r w:rsidR="000A492D" w:rsidRPr="00DB6D42">
        <w:rPr>
          <w:rFonts w:ascii="Arial" w:hAnsi="Arial" w:cs="Arial"/>
          <w:noProof/>
        </w:rPr>
        <w:t xml:space="preserve">Analytical performance of a multiplex Real-Time PCR assay using TaqMan probes for quantification of Trypanosoma cruzi satellite DNA in blood samples. </w:t>
      </w:r>
      <w:r w:rsidR="000A492D" w:rsidRPr="00DB6D42">
        <w:rPr>
          <w:rFonts w:ascii="Arial" w:hAnsi="Arial" w:cs="Arial"/>
          <w:i/>
          <w:iCs/>
          <w:noProof/>
        </w:rPr>
        <w:t>PLoS Negl Trop Dis</w:t>
      </w:r>
      <w:r w:rsidR="000A492D" w:rsidRPr="00DB6D42">
        <w:rPr>
          <w:rFonts w:ascii="Arial" w:hAnsi="Arial" w:cs="Arial"/>
          <w:noProof/>
        </w:rPr>
        <w:t xml:space="preserve"> 2013; </w:t>
      </w:r>
      <w:r w:rsidR="000A492D" w:rsidRPr="00DB6D42">
        <w:rPr>
          <w:rFonts w:ascii="Arial" w:hAnsi="Arial" w:cs="Arial"/>
          <w:b/>
          <w:bCs/>
          <w:noProof/>
        </w:rPr>
        <w:t>7</w:t>
      </w:r>
      <w:r w:rsidR="000A492D" w:rsidRPr="00DB6D42">
        <w:rPr>
          <w:rFonts w:ascii="Arial" w:hAnsi="Arial" w:cs="Arial"/>
          <w:noProof/>
        </w:rPr>
        <w:t>: e2000.</w:t>
      </w:r>
    </w:p>
    <w:p w14:paraId="3FA98C27" w14:textId="41AD023E" w:rsidR="00B764DB" w:rsidRPr="00904534" w:rsidRDefault="00A049D5" w:rsidP="00BB5FF5">
      <w:pPr>
        <w:pStyle w:val="NormalWeb"/>
        <w:ind w:left="640" w:hanging="640"/>
        <w:divId w:val="971978305"/>
        <w:rPr>
          <w:rFonts w:ascii="Arial" w:hAnsi="Arial" w:cs="Arial"/>
          <w:noProof/>
          <w:lang w:val="fr-CH"/>
        </w:rPr>
      </w:pPr>
      <w:r w:rsidRPr="00DB6D42">
        <w:rPr>
          <w:rFonts w:ascii="Arial" w:hAnsi="Arial" w:cs="Arial"/>
          <w:noProof/>
        </w:rPr>
        <w:t>1</w:t>
      </w:r>
      <w:r w:rsidR="000C4EF7" w:rsidRPr="00DB6D42">
        <w:rPr>
          <w:rFonts w:ascii="Arial" w:hAnsi="Arial" w:cs="Arial"/>
          <w:noProof/>
        </w:rPr>
        <w:t>4</w:t>
      </w:r>
      <w:r w:rsidR="000A492D" w:rsidRPr="00DB6D42">
        <w:rPr>
          <w:rFonts w:ascii="Arial" w:hAnsi="Arial" w:cs="Arial"/>
          <w:noProof/>
        </w:rPr>
        <w:tab/>
      </w:r>
      <w:r w:rsidR="002D308C" w:rsidRPr="00DB6D42">
        <w:rPr>
          <w:rFonts w:ascii="Arial" w:hAnsi="Arial" w:cs="Arial"/>
          <w:noProof/>
        </w:rPr>
        <w:t xml:space="preserve">Almeida IC, Covas DT, Soussumi LM, Travassos LR (1997) A highly sensitive and specific chemiluminescent enzyme-linked immunosorbent assay for diagnosis of active Trypanosoma cruzi infection. </w:t>
      </w:r>
      <w:r w:rsidR="002D308C" w:rsidRPr="00904534">
        <w:rPr>
          <w:rFonts w:ascii="Arial" w:hAnsi="Arial" w:cs="Arial"/>
          <w:i/>
          <w:noProof/>
          <w:lang w:val="fr-CH"/>
        </w:rPr>
        <w:t>Transfusion</w:t>
      </w:r>
      <w:r w:rsidR="002D308C" w:rsidRPr="00904534">
        <w:rPr>
          <w:rFonts w:ascii="Arial" w:hAnsi="Arial" w:cs="Arial"/>
          <w:noProof/>
          <w:lang w:val="fr-CH"/>
        </w:rPr>
        <w:t xml:space="preserve"> 37: 850-857</w:t>
      </w:r>
    </w:p>
    <w:p w14:paraId="0CEB0E5D" w14:textId="253BE75B" w:rsidR="000A492D" w:rsidRPr="00DB6D42" w:rsidRDefault="00B764DB" w:rsidP="00BB5FF5">
      <w:pPr>
        <w:pStyle w:val="NormalWeb"/>
        <w:ind w:left="640" w:hanging="640"/>
        <w:divId w:val="971978305"/>
        <w:rPr>
          <w:rFonts w:ascii="Arial" w:hAnsi="Arial" w:cs="Arial"/>
          <w:noProof/>
          <w:lang w:val="en-US"/>
        </w:rPr>
      </w:pPr>
      <w:r w:rsidRPr="00904534">
        <w:rPr>
          <w:rFonts w:ascii="Arial" w:hAnsi="Arial" w:cs="Arial"/>
          <w:noProof/>
          <w:lang w:val="fr-CH"/>
        </w:rPr>
        <w:t>1</w:t>
      </w:r>
      <w:r w:rsidR="000C4EF7" w:rsidRPr="00904534">
        <w:rPr>
          <w:rFonts w:ascii="Arial" w:hAnsi="Arial" w:cs="Arial"/>
          <w:noProof/>
          <w:lang w:val="fr-CH"/>
        </w:rPr>
        <w:t>5</w:t>
      </w:r>
      <w:r w:rsidRPr="00904534">
        <w:rPr>
          <w:rFonts w:ascii="Arial" w:hAnsi="Arial" w:cs="Arial"/>
          <w:noProof/>
          <w:lang w:val="fr-CH"/>
        </w:rPr>
        <w:tab/>
        <w:t xml:space="preserve">De Andrade AL, Zicker F, de Oliveira RM, </w:t>
      </w:r>
      <w:r w:rsidRPr="00904534">
        <w:rPr>
          <w:rFonts w:ascii="Arial" w:hAnsi="Arial" w:cs="Arial"/>
          <w:i/>
          <w:iCs/>
          <w:noProof/>
          <w:lang w:val="fr-CH"/>
        </w:rPr>
        <w:t>et al.</w:t>
      </w:r>
      <w:r w:rsidRPr="00904534">
        <w:rPr>
          <w:rFonts w:ascii="Arial" w:hAnsi="Arial" w:cs="Arial"/>
          <w:noProof/>
          <w:lang w:val="fr-CH"/>
        </w:rPr>
        <w:t xml:space="preserve"> </w:t>
      </w:r>
      <w:r w:rsidRPr="00DB6D42">
        <w:rPr>
          <w:rFonts w:ascii="Arial" w:hAnsi="Arial" w:cs="Arial"/>
          <w:noProof/>
        </w:rPr>
        <w:t xml:space="preserve">Randomised trial of efficacy of benznidazole in treatment of early Trypanosoma cruzi infection. </w:t>
      </w:r>
      <w:r w:rsidRPr="00DB6D42">
        <w:rPr>
          <w:rFonts w:ascii="Arial" w:hAnsi="Arial" w:cs="Arial"/>
          <w:i/>
          <w:iCs/>
          <w:noProof/>
        </w:rPr>
        <w:t>Lancet</w:t>
      </w:r>
      <w:r w:rsidRPr="00DB6D42">
        <w:rPr>
          <w:rFonts w:ascii="Arial" w:hAnsi="Arial" w:cs="Arial"/>
          <w:noProof/>
        </w:rPr>
        <w:t xml:space="preserve"> 1996; </w:t>
      </w:r>
      <w:r w:rsidRPr="00DB6D42">
        <w:rPr>
          <w:rFonts w:ascii="Arial" w:hAnsi="Arial" w:cs="Arial"/>
          <w:b/>
          <w:bCs/>
          <w:noProof/>
        </w:rPr>
        <w:t>348</w:t>
      </w:r>
      <w:r w:rsidRPr="00DB6D42">
        <w:rPr>
          <w:rFonts w:ascii="Arial" w:hAnsi="Arial" w:cs="Arial"/>
          <w:noProof/>
        </w:rPr>
        <w:t>: 1407–13.</w:t>
      </w:r>
    </w:p>
    <w:p w14:paraId="24DE41A9" w14:textId="062757F1" w:rsidR="00B764DB" w:rsidRPr="00DB6D42" w:rsidRDefault="00A049D5" w:rsidP="00BB5FF5">
      <w:pPr>
        <w:pStyle w:val="NormalWeb"/>
        <w:ind w:left="640" w:hanging="640"/>
        <w:divId w:val="971978305"/>
        <w:rPr>
          <w:rFonts w:ascii="Arial" w:hAnsi="Arial" w:cs="Arial"/>
          <w:noProof/>
          <w:lang w:val="en-US"/>
        </w:rPr>
      </w:pPr>
      <w:r w:rsidRPr="00DB6D42">
        <w:rPr>
          <w:rFonts w:ascii="Arial" w:hAnsi="Arial" w:cs="Arial"/>
          <w:noProof/>
          <w:lang w:val="en-US"/>
        </w:rPr>
        <w:lastRenderedPageBreak/>
        <w:t>1</w:t>
      </w:r>
      <w:r w:rsidR="000C4EF7" w:rsidRPr="00DB6D42">
        <w:rPr>
          <w:rFonts w:ascii="Arial" w:hAnsi="Arial" w:cs="Arial"/>
          <w:noProof/>
          <w:lang w:val="en-US"/>
        </w:rPr>
        <w:t>6</w:t>
      </w:r>
      <w:r w:rsidR="000A492D" w:rsidRPr="00DB6D42">
        <w:rPr>
          <w:rFonts w:ascii="Arial" w:hAnsi="Arial" w:cs="Arial"/>
          <w:noProof/>
          <w:lang w:val="en-US"/>
        </w:rPr>
        <w:tab/>
      </w:r>
      <w:r w:rsidR="00B764DB" w:rsidRPr="00DB6D42">
        <w:rPr>
          <w:rFonts w:ascii="Arial" w:hAnsi="Arial" w:cs="Arial"/>
          <w:noProof/>
          <w:lang w:val="en-US"/>
        </w:rPr>
        <w:t>Izquierdo L, Marques AF, Gállego M, et al. Evaluation of a chemiluminescent enzyme-linked immunosorbent assay for the diagnosis of Trypanosoma cruzi infection in a nonendemic setting. Mem Inst Oswaldo Cruz 2013; 108: 928–31</w:t>
      </w:r>
    </w:p>
    <w:p w14:paraId="3092AC86" w14:textId="047DD3C1" w:rsidR="000A492D" w:rsidRPr="00DB6D42" w:rsidRDefault="000C4EF7" w:rsidP="00BB5FF5">
      <w:pPr>
        <w:pStyle w:val="NormalWeb"/>
        <w:ind w:left="640" w:hanging="640"/>
        <w:divId w:val="971978305"/>
        <w:rPr>
          <w:rFonts w:ascii="Arial" w:hAnsi="Arial" w:cs="Arial"/>
          <w:noProof/>
          <w:lang w:val="en-US"/>
        </w:rPr>
      </w:pPr>
      <w:r w:rsidRPr="00DB6D42">
        <w:rPr>
          <w:rFonts w:ascii="Arial" w:hAnsi="Arial" w:cs="Arial"/>
          <w:noProof/>
          <w:lang w:val="en-US"/>
        </w:rPr>
        <w:t>17</w:t>
      </w:r>
      <w:r w:rsidR="00B647CB" w:rsidRPr="00DB6D42">
        <w:rPr>
          <w:rFonts w:ascii="Arial" w:hAnsi="Arial" w:cs="Arial"/>
          <w:noProof/>
          <w:lang w:val="en-US"/>
        </w:rPr>
        <w:tab/>
      </w:r>
      <w:r w:rsidR="00C34CC6" w:rsidRPr="00DB6D42">
        <w:rPr>
          <w:rFonts w:ascii="Arial" w:hAnsi="Arial" w:cs="Arial"/>
          <w:noProof/>
          <w:lang w:val="en-US"/>
        </w:rPr>
        <w:t>Ho</w:t>
      </w:r>
      <w:r w:rsidR="00176482" w:rsidRPr="00DB6D42">
        <w:rPr>
          <w:rFonts w:ascii="Arial" w:hAnsi="Arial" w:cs="Arial"/>
          <w:noProof/>
          <w:lang w:val="en-US"/>
        </w:rPr>
        <w:t>chberg, Y. and Tamhane, A. (1987</w:t>
      </w:r>
      <w:r w:rsidR="00C34CC6" w:rsidRPr="00DB6D42">
        <w:rPr>
          <w:rFonts w:ascii="Arial" w:hAnsi="Arial" w:cs="Arial"/>
          <w:noProof/>
          <w:lang w:val="en-US"/>
        </w:rPr>
        <w:t>). Multiple comparison procedures. New York: John Wiley and Sons.</w:t>
      </w:r>
    </w:p>
    <w:p w14:paraId="05F16700" w14:textId="6A3137E7" w:rsidR="000A492D" w:rsidRPr="00DB6D42" w:rsidRDefault="00B647CB" w:rsidP="00BB5FF5">
      <w:pPr>
        <w:pStyle w:val="NormalWeb"/>
        <w:ind w:left="640" w:hanging="640"/>
        <w:divId w:val="971978305"/>
        <w:rPr>
          <w:rFonts w:ascii="Arial" w:hAnsi="Arial" w:cs="Arial"/>
          <w:noProof/>
          <w:lang w:val="pt-BR"/>
        </w:rPr>
      </w:pPr>
      <w:r w:rsidRPr="00DB6D42">
        <w:rPr>
          <w:rFonts w:ascii="Arial" w:hAnsi="Arial" w:cs="Arial"/>
          <w:noProof/>
        </w:rPr>
        <w:t>1</w:t>
      </w:r>
      <w:r w:rsidR="000C4EF7" w:rsidRPr="00DB6D42">
        <w:rPr>
          <w:rFonts w:ascii="Arial" w:hAnsi="Arial" w:cs="Arial"/>
          <w:noProof/>
        </w:rPr>
        <w:t>8</w:t>
      </w:r>
      <w:r w:rsidR="000A492D" w:rsidRPr="00DB6D42">
        <w:rPr>
          <w:rFonts w:ascii="Arial" w:hAnsi="Arial" w:cs="Arial"/>
          <w:noProof/>
        </w:rPr>
        <w:tab/>
        <w:t xml:space="preserve">Raaflaub J. Multiple-dose kinetics of the trypanosomicide benznidazole in man. </w:t>
      </w:r>
      <w:r w:rsidR="000A492D" w:rsidRPr="00DB6D42">
        <w:rPr>
          <w:rFonts w:ascii="Arial" w:hAnsi="Arial" w:cs="Arial"/>
          <w:i/>
          <w:iCs/>
          <w:noProof/>
          <w:lang w:val="pt-BR"/>
        </w:rPr>
        <w:t>Arzneimittelforschung</w:t>
      </w:r>
      <w:r w:rsidR="000A492D" w:rsidRPr="00DB6D42">
        <w:rPr>
          <w:rFonts w:ascii="Arial" w:hAnsi="Arial" w:cs="Arial"/>
          <w:noProof/>
          <w:lang w:val="pt-BR"/>
        </w:rPr>
        <w:t xml:space="preserve"> 1980; </w:t>
      </w:r>
      <w:r w:rsidR="000A492D" w:rsidRPr="00DB6D42">
        <w:rPr>
          <w:rFonts w:ascii="Arial" w:hAnsi="Arial" w:cs="Arial"/>
          <w:b/>
          <w:bCs/>
          <w:noProof/>
          <w:lang w:val="pt-BR"/>
        </w:rPr>
        <w:t>30</w:t>
      </w:r>
      <w:r w:rsidR="000A492D" w:rsidRPr="00DB6D42">
        <w:rPr>
          <w:rFonts w:ascii="Arial" w:hAnsi="Arial" w:cs="Arial"/>
          <w:noProof/>
          <w:lang w:val="pt-BR"/>
        </w:rPr>
        <w:t>: 2192–4.</w:t>
      </w:r>
    </w:p>
    <w:p w14:paraId="19092812" w14:textId="476261DD" w:rsidR="000A492D" w:rsidRPr="00DB6D42" w:rsidRDefault="000C4EF7" w:rsidP="00BB5FF5">
      <w:pPr>
        <w:pStyle w:val="NormalWeb"/>
        <w:ind w:left="640" w:hanging="640"/>
        <w:divId w:val="971978305"/>
        <w:rPr>
          <w:rFonts w:ascii="Arial" w:hAnsi="Arial" w:cs="Arial"/>
          <w:noProof/>
        </w:rPr>
      </w:pPr>
      <w:r w:rsidRPr="00DB6D42">
        <w:rPr>
          <w:rFonts w:ascii="Arial" w:hAnsi="Arial" w:cs="Arial"/>
          <w:noProof/>
          <w:lang w:val="pt-BR"/>
        </w:rPr>
        <w:t>19</w:t>
      </w:r>
      <w:r w:rsidR="000A492D" w:rsidRPr="00DB6D42">
        <w:rPr>
          <w:rFonts w:ascii="Arial" w:hAnsi="Arial" w:cs="Arial"/>
          <w:noProof/>
          <w:lang w:val="pt-BR"/>
        </w:rPr>
        <w:tab/>
        <w:t xml:space="preserve">Molina I, Gómez i Prat J, Salvador F, </w:t>
      </w:r>
      <w:r w:rsidR="000A492D" w:rsidRPr="00DB6D42">
        <w:rPr>
          <w:rFonts w:ascii="Arial" w:hAnsi="Arial" w:cs="Arial"/>
          <w:i/>
          <w:iCs/>
          <w:noProof/>
          <w:lang w:val="pt-BR"/>
        </w:rPr>
        <w:t>et al.</w:t>
      </w:r>
      <w:r w:rsidR="000A492D" w:rsidRPr="00DB6D42">
        <w:rPr>
          <w:rFonts w:ascii="Arial" w:hAnsi="Arial" w:cs="Arial"/>
          <w:noProof/>
          <w:lang w:val="pt-BR"/>
        </w:rPr>
        <w:t xml:space="preserve"> </w:t>
      </w:r>
      <w:r w:rsidR="000A492D" w:rsidRPr="00DB6D42">
        <w:rPr>
          <w:rFonts w:ascii="Arial" w:hAnsi="Arial" w:cs="Arial"/>
          <w:noProof/>
        </w:rPr>
        <w:t xml:space="preserve">Randomized trial of posaconazole and benznidazole for chronic Chagas’ disease. </w:t>
      </w:r>
      <w:r w:rsidR="000A492D" w:rsidRPr="00DB6D42">
        <w:rPr>
          <w:rFonts w:ascii="Arial" w:hAnsi="Arial" w:cs="Arial"/>
          <w:i/>
          <w:iCs/>
          <w:noProof/>
        </w:rPr>
        <w:t>N Engl J Med</w:t>
      </w:r>
      <w:r w:rsidR="000A492D" w:rsidRPr="00DB6D42">
        <w:rPr>
          <w:rFonts w:ascii="Arial" w:hAnsi="Arial" w:cs="Arial"/>
          <w:noProof/>
        </w:rPr>
        <w:t xml:space="preserve"> 2014; </w:t>
      </w:r>
      <w:r w:rsidR="000A492D" w:rsidRPr="00DB6D42">
        <w:rPr>
          <w:rFonts w:ascii="Arial" w:hAnsi="Arial" w:cs="Arial"/>
          <w:b/>
          <w:bCs/>
          <w:noProof/>
        </w:rPr>
        <w:t>370</w:t>
      </w:r>
      <w:r w:rsidR="000A492D" w:rsidRPr="00DB6D42">
        <w:rPr>
          <w:rFonts w:ascii="Arial" w:hAnsi="Arial" w:cs="Arial"/>
          <w:noProof/>
        </w:rPr>
        <w:t>: 1899–908.</w:t>
      </w:r>
    </w:p>
    <w:p w14:paraId="4C10FD48" w14:textId="24512CE2" w:rsidR="00781783" w:rsidRPr="00DB6D42" w:rsidRDefault="000C4EF7" w:rsidP="00BB5FF5">
      <w:pPr>
        <w:pStyle w:val="NormalWeb"/>
        <w:ind w:left="640" w:hanging="640"/>
        <w:divId w:val="971978305"/>
        <w:rPr>
          <w:rFonts w:ascii="Arial" w:hAnsi="Arial" w:cs="Arial"/>
          <w:noProof/>
          <w:lang w:val="pt-BR"/>
        </w:rPr>
      </w:pPr>
      <w:r w:rsidRPr="00DB6D42">
        <w:rPr>
          <w:rFonts w:ascii="Arial" w:hAnsi="Arial" w:cs="Arial"/>
          <w:noProof/>
        </w:rPr>
        <w:t>20</w:t>
      </w:r>
      <w:r w:rsidR="00781783" w:rsidRPr="00DB6D42">
        <w:rPr>
          <w:rFonts w:ascii="Arial" w:hAnsi="Arial" w:cs="Arial"/>
          <w:noProof/>
        </w:rPr>
        <w:tab/>
        <w:t xml:space="preserve">Morillo CA, Waskin H, Sosa-Estani S, </w:t>
      </w:r>
      <w:r w:rsidR="0027341A" w:rsidRPr="00DB6D42">
        <w:rPr>
          <w:rFonts w:ascii="Arial" w:hAnsi="Arial" w:cs="Arial"/>
          <w:noProof/>
        </w:rPr>
        <w:t xml:space="preserve">et al. </w:t>
      </w:r>
      <w:r w:rsidR="009734FC" w:rsidRPr="00DB6D42">
        <w:rPr>
          <w:rFonts w:ascii="Arial" w:hAnsi="Arial" w:cs="Arial"/>
          <w:noProof/>
          <w:lang w:val="en-US"/>
        </w:rPr>
        <w:t xml:space="preserve">Benznidazole and Posaconazole in Eliminating Parasites in Asymptomatic T. Cruzi Carriers: The STOP-CHAGAS Trial. </w:t>
      </w:r>
      <w:r w:rsidR="00781783" w:rsidRPr="00DB6D42">
        <w:rPr>
          <w:rFonts w:ascii="Arial" w:hAnsi="Arial" w:cs="Arial"/>
          <w:i/>
          <w:noProof/>
          <w:lang w:val="pt-BR"/>
        </w:rPr>
        <w:t>J Am Coll Cardiol.</w:t>
      </w:r>
      <w:r w:rsidR="00781783" w:rsidRPr="00DB6D42">
        <w:rPr>
          <w:rFonts w:ascii="Arial" w:hAnsi="Arial" w:cs="Arial"/>
          <w:noProof/>
          <w:lang w:val="pt-BR"/>
        </w:rPr>
        <w:t xml:space="preserve"> 2017 Feb 28;</w:t>
      </w:r>
      <w:r w:rsidR="00781783" w:rsidRPr="00DB6D42">
        <w:rPr>
          <w:rFonts w:ascii="Arial" w:hAnsi="Arial" w:cs="Arial"/>
          <w:b/>
          <w:noProof/>
          <w:lang w:val="pt-BR"/>
        </w:rPr>
        <w:t>69</w:t>
      </w:r>
      <w:r w:rsidR="00781783" w:rsidRPr="00DB6D42">
        <w:rPr>
          <w:rFonts w:ascii="Arial" w:hAnsi="Arial" w:cs="Arial"/>
          <w:noProof/>
          <w:lang w:val="pt-BR"/>
        </w:rPr>
        <w:t xml:space="preserve">(8):939-947. </w:t>
      </w:r>
    </w:p>
    <w:p w14:paraId="0F52EF71" w14:textId="5933AC85" w:rsidR="000A492D" w:rsidRPr="00904534" w:rsidRDefault="00A049D5" w:rsidP="00BB5FF5">
      <w:pPr>
        <w:pStyle w:val="NormalWeb"/>
        <w:ind w:left="640" w:hanging="640"/>
        <w:divId w:val="971978305"/>
        <w:rPr>
          <w:rFonts w:ascii="Arial" w:hAnsi="Arial" w:cs="Arial"/>
          <w:noProof/>
          <w:lang w:val="fr-CH"/>
        </w:rPr>
      </w:pPr>
      <w:r w:rsidRPr="00DB6D42">
        <w:rPr>
          <w:rFonts w:ascii="Arial" w:hAnsi="Arial" w:cs="Arial"/>
          <w:noProof/>
          <w:lang w:val="pt-BR"/>
        </w:rPr>
        <w:t>2</w:t>
      </w:r>
      <w:r w:rsidR="000C4EF7" w:rsidRPr="00DB6D42">
        <w:rPr>
          <w:rFonts w:ascii="Arial" w:hAnsi="Arial" w:cs="Arial"/>
          <w:noProof/>
          <w:lang w:val="pt-BR"/>
        </w:rPr>
        <w:t>1</w:t>
      </w:r>
      <w:r w:rsidR="000A492D" w:rsidRPr="00DB6D42">
        <w:rPr>
          <w:rFonts w:ascii="Arial" w:hAnsi="Arial" w:cs="Arial"/>
          <w:noProof/>
          <w:lang w:val="pt-BR"/>
        </w:rPr>
        <w:tab/>
        <w:t xml:space="preserve">Batista DDGJ, Batista MM, de Oliveira GM, </w:t>
      </w:r>
      <w:r w:rsidR="000A492D" w:rsidRPr="00DB6D42">
        <w:rPr>
          <w:rFonts w:ascii="Arial" w:hAnsi="Arial" w:cs="Arial"/>
          <w:i/>
          <w:iCs/>
          <w:noProof/>
          <w:lang w:val="pt-BR"/>
        </w:rPr>
        <w:t>et al.</w:t>
      </w:r>
      <w:r w:rsidR="000A492D" w:rsidRPr="00DB6D42">
        <w:rPr>
          <w:rFonts w:ascii="Arial" w:hAnsi="Arial" w:cs="Arial"/>
          <w:noProof/>
          <w:lang w:val="pt-BR"/>
        </w:rPr>
        <w:t xml:space="preserve"> </w:t>
      </w:r>
      <w:r w:rsidR="000A492D" w:rsidRPr="00DB6D42">
        <w:rPr>
          <w:rFonts w:ascii="Arial" w:hAnsi="Arial" w:cs="Arial"/>
          <w:noProof/>
        </w:rPr>
        <w:t xml:space="preserve">Combined Treatment of Heterocyclic Analogues and Benznidazole upon Trypanosoma cruzi In Vivo. </w:t>
      </w:r>
      <w:r w:rsidR="000A492D" w:rsidRPr="00904534">
        <w:rPr>
          <w:rFonts w:ascii="Arial" w:hAnsi="Arial" w:cs="Arial"/>
          <w:i/>
          <w:iCs/>
          <w:noProof/>
          <w:lang w:val="fr-CH"/>
        </w:rPr>
        <w:t>PLoS One</w:t>
      </w:r>
      <w:r w:rsidR="000A492D" w:rsidRPr="00904534">
        <w:rPr>
          <w:rFonts w:ascii="Arial" w:hAnsi="Arial" w:cs="Arial"/>
          <w:noProof/>
          <w:lang w:val="fr-CH"/>
        </w:rPr>
        <w:t xml:space="preserve"> 2011; </w:t>
      </w:r>
      <w:r w:rsidR="000A492D" w:rsidRPr="00904534">
        <w:rPr>
          <w:rFonts w:ascii="Arial" w:hAnsi="Arial" w:cs="Arial"/>
          <w:b/>
          <w:bCs/>
          <w:noProof/>
          <w:lang w:val="fr-CH"/>
        </w:rPr>
        <w:t>6</w:t>
      </w:r>
      <w:r w:rsidR="000A492D" w:rsidRPr="00904534">
        <w:rPr>
          <w:rFonts w:ascii="Arial" w:hAnsi="Arial" w:cs="Arial"/>
          <w:noProof/>
          <w:lang w:val="fr-CH"/>
        </w:rPr>
        <w:t>: e22155.</w:t>
      </w:r>
    </w:p>
    <w:p w14:paraId="7BB87EAA" w14:textId="2E6E6307" w:rsidR="00BE2CA7" w:rsidRPr="00904534" w:rsidRDefault="009734FC" w:rsidP="00BB5FF5">
      <w:pPr>
        <w:pStyle w:val="NormalWeb"/>
        <w:ind w:left="640" w:hanging="640"/>
        <w:divId w:val="971978305"/>
        <w:rPr>
          <w:rFonts w:ascii="Arial" w:hAnsi="Arial" w:cs="Arial"/>
          <w:noProof/>
          <w:lang w:val="fr-CH"/>
        </w:rPr>
      </w:pPr>
      <w:r w:rsidRPr="00904534">
        <w:rPr>
          <w:rFonts w:ascii="Arial" w:hAnsi="Arial" w:cs="Arial"/>
          <w:noProof/>
          <w:lang w:val="fr-CH"/>
        </w:rPr>
        <w:t>2</w:t>
      </w:r>
      <w:r w:rsidR="000C4EF7" w:rsidRPr="00904534">
        <w:rPr>
          <w:rFonts w:ascii="Arial" w:hAnsi="Arial" w:cs="Arial"/>
          <w:noProof/>
          <w:lang w:val="fr-CH"/>
        </w:rPr>
        <w:t>2</w:t>
      </w:r>
      <w:r w:rsidRPr="00904534">
        <w:rPr>
          <w:rFonts w:ascii="Arial" w:hAnsi="Arial" w:cs="Arial"/>
          <w:noProof/>
          <w:lang w:val="fr-CH"/>
        </w:rPr>
        <w:tab/>
      </w:r>
      <w:r w:rsidR="00B647CB" w:rsidRPr="00904534">
        <w:rPr>
          <w:rFonts w:ascii="Arial" w:hAnsi="Arial" w:cs="Arial"/>
          <w:noProof/>
          <w:lang w:val="fr-CH"/>
        </w:rPr>
        <w:t>Diniz LF, Urbina JA, de Andrade IM,</w:t>
      </w:r>
      <w:r w:rsidR="0027341A" w:rsidRPr="00904534">
        <w:rPr>
          <w:rFonts w:ascii="Arial" w:hAnsi="Arial" w:cs="Arial"/>
          <w:noProof/>
          <w:lang w:val="fr-CH"/>
        </w:rPr>
        <w:t xml:space="preserve"> et al.</w:t>
      </w:r>
      <w:r w:rsidR="00B647CB" w:rsidRPr="00904534">
        <w:rPr>
          <w:rFonts w:ascii="Arial" w:hAnsi="Arial" w:cs="Arial"/>
          <w:noProof/>
          <w:lang w:val="fr-CH"/>
        </w:rPr>
        <w:t xml:space="preserve"> </w:t>
      </w:r>
      <w:r w:rsidR="00B647CB" w:rsidRPr="00DB6D42">
        <w:rPr>
          <w:rFonts w:ascii="Arial" w:hAnsi="Arial" w:cs="Arial"/>
          <w:noProof/>
        </w:rPr>
        <w:t xml:space="preserve">Benznidazole and posaconazole in experimental Chagas disease: positive interaction in concomitant and sequential treatments. </w:t>
      </w:r>
      <w:r w:rsidR="00B647CB" w:rsidRPr="00904534">
        <w:rPr>
          <w:rFonts w:ascii="Arial" w:hAnsi="Arial" w:cs="Arial"/>
          <w:i/>
          <w:noProof/>
          <w:lang w:val="fr-CH"/>
        </w:rPr>
        <w:t xml:space="preserve">PLoS Negl Trop Dis. </w:t>
      </w:r>
      <w:r w:rsidR="00B647CB" w:rsidRPr="00904534">
        <w:rPr>
          <w:rFonts w:ascii="Arial" w:hAnsi="Arial" w:cs="Arial"/>
          <w:noProof/>
          <w:lang w:val="fr-CH"/>
        </w:rPr>
        <w:t>2013 Aug 15;7(8):e2367.</w:t>
      </w:r>
      <w:r w:rsidR="00A049D5" w:rsidRPr="00904534">
        <w:rPr>
          <w:rFonts w:ascii="Arial" w:hAnsi="Arial" w:cs="Arial"/>
          <w:noProof/>
          <w:lang w:val="fr-CH"/>
        </w:rPr>
        <w:t>2</w:t>
      </w:r>
      <w:r w:rsidRPr="00904534">
        <w:rPr>
          <w:rFonts w:ascii="Arial" w:hAnsi="Arial" w:cs="Arial"/>
          <w:noProof/>
          <w:lang w:val="fr-CH"/>
        </w:rPr>
        <w:t>6</w:t>
      </w:r>
      <w:r w:rsidR="000A492D" w:rsidRPr="00904534">
        <w:rPr>
          <w:rFonts w:ascii="Arial" w:hAnsi="Arial" w:cs="Arial"/>
          <w:noProof/>
          <w:lang w:val="fr-CH"/>
        </w:rPr>
        <w:tab/>
      </w:r>
    </w:p>
    <w:p w14:paraId="6FE03DEF" w14:textId="5BD9CEEB" w:rsidR="0006024E" w:rsidRPr="00904534" w:rsidRDefault="00A049D5" w:rsidP="00BB5FF5">
      <w:pPr>
        <w:pStyle w:val="Title2"/>
        <w:ind w:left="640" w:hanging="640"/>
        <w:divId w:val="971978305"/>
        <w:rPr>
          <w:rFonts w:ascii="Arial" w:eastAsia="Cambria" w:hAnsi="Arial" w:cs="Arial"/>
          <w:noProof/>
          <w:sz w:val="20"/>
          <w:szCs w:val="20"/>
          <w:lang w:val="fr-CH" w:eastAsia="en-US"/>
        </w:rPr>
      </w:pPr>
      <w:r w:rsidRPr="00904534">
        <w:rPr>
          <w:rFonts w:ascii="Arial" w:hAnsi="Arial" w:cs="Arial"/>
          <w:noProof/>
          <w:sz w:val="20"/>
          <w:lang w:val="fr-CH"/>
        </w:rPr>
        <w:t>2</w:t>
      </w:r>
      <w:r w:rsidR="000C4EF7" w:rsidRPr="00904534">
        <w:rPr>
          <w:rFonts w:ascii="Arial" w:hAnsi="Arial" w:cs="Arial"/>
          <w:noProof/>
          <w:sz w:val="20"/>
          <w:lang w:val="fr-CH"/>
        </w:rPr>
        <w:t>3</w:t>
      </w:r>
      <w:r w:rsidR="000A492D" w:rsidRPr="00904534">
        <w:rPr>
          <w:rFonts w:ascii="Arial" w:hAnsi="Arial" w:cs="Arial"/>
          <w:noProof/>
          <w:lang w:val="fr-CH"/>
        </w:rPr>
        <w:tab/>
      </w:r>
      <w:r w:rsidR="0006024E" w:rsidRPr="00904534">
        <w:rPr>
          <w:rFonts w:ascii="Arial" w:eastAsia="Cambria" w:hAnsi="Arial" w:cs="Arial"/>
          <w:noProof/>
          <w:sz w:val="20"/>
          <w:szCs w:val="20"/>
          <w:lang w:val="fr-CH" w:eastAsia="en-US"/>
        </w:rPr>
        <w:t xml:space="preserve">Morillo CA, Marin-Neto JA, Avezum A, </w:t>
      </w:r>
      <w:r w:rsidR="0027341A" w:rsidRPr="00904534">
        <w:rPr>
          <w:rFonts w:ascii="Arial" w:eastAsia="Cambria" w:hAnsi="Arial" w:cs="Arial"/>
          <w:noProof/>
          <w:sz w:val="20"/>
          <w:szCs w:val="20"/>
          <w:lang w:val="fr-CH" w:eastAsia="en-US"/>
        </w:rPr>
        <w:t xml:space="preserve">et al. </w:t>
      </w:r>
      <w:r w:rsidR="009157A9" w:rsidRPr="00DB6D42">
        <w:rPr>
          <w:rFonts w:ascii="Arial" w:eastAsia="Cambria" w:hAnsi="Arial" w:cs="Arial"/>
          <w:noProof/>
          <w:sz w:val="20"/>
          <w:szCs w:val="20"/>
          <w:lang w:val="en-GB" w:eastAsia="en-US"/>
        </w:rPr>
        <w:t xml:space="preserve">Randomized Trial of Benznidazole for Chronic Chagas' Cardiomyopathy. </w:t>
      </w:r>
      <w:r w:rsidR="0006024E" w:rsidRPr="00904534">
        <w:rPr>
          <w:rFonts w:ascii="Arial" w:eastAsia="Cambria" w:hAnsi="Arial" w:cs="Arial"/>
          <w:noProof/>
          <w:sz w:val="20"/>
          <w:szCs w:val="20"/>
          <w:lang w:val="fr-CH" w:eastAsia="en-US"/>
        </w:rPr>
        <w:t xml:space="preserve">N Engl J Med. 2015 Sep 1. </w:t>
      </w:r>
    </w:p>
    <w:p w14:paraId="3A9C0AC2" w14:textId="4DE4033C" w:rsidR="009734FC" w:rsidRPr="00DB6D42" w:rsidRDefault="00A049D5" w:rsidP="00BB5FF5">
      <w:pPr>
        <w:pStyle w:val="NormalWeb"/>
        <w:ind w:left="640" w:hanging="640"/>
        <w:divId w:val="971978305"/>
        <w:rPr>
          <w:rFonts w:ascii="Arial" w:hAnsi="Arial" w:cs="Arial"/>
          <w:noProof/>
        </w:rPr>
      </w:pPr>
      <w:r w:rsidRPr="00904534">
        <w:rPr>
          <w:rFonts w:ascii="Arial" w:hAnsi="Arial" w:cs="Arial"/>
          <w:noProof/>
          <w:lang w:val="fr-CH"/>
        </w:rPr>
        <w:t>2</w:t>
      </w:r>
      <w:r w:rsidR="000C4EF7" w:rsidRPr="00904534">
        <w:rPr>
          <w:rFonts w:ascii="Arial" w:hAnsi="Arial" w:cs="Arial"/>
          <w:noProof/>
          <w:lang w:val="fr-CH"/>
        </w:rPr>
        <w:t>4</w:t>
      </w:r>
      <w:r w:rsidR="000A492D" w:rsidRPr="00904534">
        <w:rPr>
          <w:rFonts w:ascii="Arial" w:hAnsi="Arial" w:cs="Arial"/>
          <w:noProof/>
          <w:lang w:val="fr-CH"/>
        </w:rPr>
        <w:tab/>
      </w:r>
      <w:r w:rsidR="009734FC" w:rsidRPr="00904534">
        <w:rPr>
          <w:rFonts w:ascii="Arial" w:hAnsi="Arial" w:cs="Arial"/>
          <w:noProof/>
          <w:lang w:val="fr-CH"/>
        </w:rPr>
        <w:t xml:space="preserve">Viotti R, , Alarcón de Noya B, Araujo-Jorge T, </w:t>
      </w:r>
      <w:r w:rsidR="009734FC" w:rsidRPr="00904534">
        <w:rPr>
          <w:rFonts w:ascii="Arial" w:hAnsi="Arial" w:cs="Arial"/>
          <w:i/>
          <w:iCs/>
          <w:noProof/>
          <w:lang w:val="fr-CH"/>
        </w:rPr>
        <w:t>et al.</w:t>
      </w:r>
      <w:r w:rsidR="009734FC" w:rsidRPr="00904534">
        <w:rPr>
          <w:rFonts w:ascii="Arial" w:hAnsi="Arial" w:cs="Arial"/>
          <w:noProof/>
          <w:lang w:val="fr-CH"/>
        </w:rPr>
        <w:t xml:space="preserve"> </w:t>
      </w:r>
      <w:r w:rsidR="009734FC" w:rsidRPr="00DB6D42">
        <w:rPr>
          <w:rFonts w:ascii="Arial" w:hAnsi="Arial" w:cs="Arial"/>
          <w:noProof/>
        </w:rPr>
        <w:t xml:space="preserve">Towards a paradigm shift in the treatment of chronic chagas disease. </w:t>
      </w:r>
      <w:r w:rsidR="009734FC" w:rsidRPr="00DB6D42">
        <w:rPr>
          <w:rFonts w:ascii="Arial" w:hAnsi="Arial" w:cs="Arial"/>
          <w:i/>
          <w:iCs/>
          <w:noProof/>
        </w:rPr>
        <w:t>Antimicrob Agents Chemother</w:t>
      </w:r>
      <w:r w:rsidR="009734FC" w:rsidRPr="00DB6D42">
        <w:rPr>
          <w:rFonts w:ascii="Arial" w:hAnsi="Arial" w:cs="Arial"/>
          <w:noProof/>
        </w:rPr>
        <w:t xml:space="preserve"> 2014; </w:t>
      </w:r>
      <w:r w:rsidR="009734FC" w:rsidRPr="00DB6D42">
        <w:rPr>
          <w:rFonts w:ascii="Arial" w:hAnsi="Arial" w:cs="Arial"/>
          <w:b/>
          <w:bCs/>
          <w:noProof/>
        </w:rPr>
        <w:t>58</w:t>
      </w:r>
      <w:r w:rsidR="009734FC" w:rsidRPr="00DB6D42">
        <w:rPr>
          <w:rFonts w:ascii="Arial" w:hAnsi="Arial" w:cs="Arial"/>
          <w:noProof/>
        </w:rPr>
        <w:t>: 635–9.</w:t>
      </w:r>
    </w:p>
    <w:p w14:paraId="3D7DB9A9" w14:textId="3F5CE3EC" w:rsidR="009734FC" w:rsidRPr="00DB6D42" w:rsidRDefault="009734FC" w:rsidP="00BB5FF5">
      <w:pPr>
        <w:pStyle w:val="NormalWeb"/>
        <w:ind w:left="640" w:hanging="640"/>
        <w:divId w:val="971978305"/>
        <w:rPr>
          <w:rFonts w:ascii="Arial" w:hAnsi="Arial" w:cs="Arial"/>
          <w:noProof/>
          <w:lang w:val="en-US"/>
        </w:rPr>
      </w:pPr>
      <w:r w:rsidRPr="00DB6D42">
        <w:rPr>
          <w:rFonts w:ascii="Arial" w:hAnsi="Arial" w:cs="Arial"/>
          <w:noProof/>
          <w:lang w:val="en-US"/>
        </w:rPr>
        <w:t>2</w:t>
      </w:r>
      <w:r w:rsidR="000C4EF7" w:rsidRPr="00DB6D42">
        <w:rPr>
          <w:rFonts w:ascii="Arial" w:hAnsi="Arial" w:cs="Arial"/>
          <w:noProof/>
          <w:lang w:val="en-US"/>
        </w:rPr>
        <w:t>5</w:t>
      </w:r>
      <w:r w:rsidRPr="00DB6D42">
        <w:rPr>
          <w:rFonts w:ascii="Arial" w:hAnsi="Arial" w:cs="Arial"/>
          <w:noProof/>
          <w:lang w:val="en-US"/>
        </w:rPr>
        <w:tab/>
      </w:r>
      <w:r w:rsidRPr="00DB6D42">
        <w:rPr>
          <w:rFonts w:ascii="Arial" w:hAnsi="Arial" w:cs="Arial"/>
          <w:noProof/>
        </w:rPr>
        <w:t xml:space="preserve">Dias JC, Ramos AN Jr, Gontijo ED, </w:t>
      </w:r>
      <w:r w:rsidR="005E0B81" w:rsidRPr="00DB6D42">
        <w:rPr>
          <w:rFonts w:ascii="Arial" w:hAnsi="Arial" w:cs="Arial"/>
          <w:noProof/>
        </w:rPr>
        <w:t>et al.</w:t>
      </w:r>
      <w:r w:rsidRPr="00DB6D42">
        <w:rPr>
          <w:rFonts w:ascii="Arial" w:hAnsi="Arial" w:cs="Arial"/>
          <w:noProof/>
        </w:rPr>
        <w:t xml:space="preserve"> </w:t>
      </w:r>
      <w:r w:rsidRPr="00DB6D42">
        <w:rPr>
          <w:rFonts w:ascii="Arial" w:hAnsi="Arial" w:cs="Arial"/>
          <w:noProof/>
          <w:lang w:val="en-US"/>
        </w:rPr>
        <w:t>2nd Brazilian Consensus on Chagas Disease, 2015. Rev Soc Bras Med Trop. 2016 Dec;</w:t>
      </w:r>
      <w:r w:rsidRPr="00DB6D42">
        <w:rPr>
          <w:rFonts w:ascii="Arial" w:hAnsi="Arial" w:cs="Arial"/>
          <w:b/>
          <w:noProof/>
          <w:lang w:val="en-US"/>
        </w:rPr>
        <w:t>49</w:t>
      </w:r>
      <w:r w:rsidRPr="00DB6D42">
        <w:rPr>
          <w:rFonts w:ascii="Arial" w:hAnsi="Arial" w:cs="Arial"/>
          <w:noProof/>
          <w:lang w:val="en-US"/>
        </w:rPr>
        <w:t xml:space="preserve">Suppl 1(Suppl 1):3-60. </w:t>
      </w:r>
    </w:p>
    <w:p w14:paraId="213C380D" w14:textId="69A0A761" w:rsidR="000A492D" w:rsidRPr="00904534" w:rsidRDefault="009734FC" w:rsidP="00BB5FF5">
      <w:pPr>
        <w:pStyle w:val="NormalWeb"/>
        <w:ind w:left="640" w:hanging="640"/>
        <w:divId w:val="971978305"/>
        <w:rPr>
          <w:rFonts w:ascii="Arial" w:hAnsi="Arial" w:cs="Arial"/>
          <w:noProof/>
          <w:lang w:val="en-US"/>
        </w:rPr>
      </w:pPr>
      <w:r w:rsidRPr="00DB6D42">
        <w:rPr>
          <w:rFonts w:ascii="Arial" w:hAnsi="Arial" w:cs="Arial"/>
          <w:noProof/>
          <w:lang w:val="en-US"/>
        </w:rPr>
        <w:t>2</w:t>
      </w:r>
      <w:r w:rsidR="000C4EF7" w:rsidRPr="00DB6D42">
        <w:rPr>
          <w:rFonts w:ascii="Arial" w:hAnsi="Arial" w:cs="Arial"/>
          <w:noProof/>
          <w:lang w:val="en-US"/>
        </w:rPr>
        <w:t>6</w:t>
      </w:r>
      <w:r w:rsidRPr="00DB6D42">
        <w:rPr>
          <w:rFonts w:ascii="Arial" w:hAnsi="Arial" w:cs="Arial"/>
          <w:noProof/>
          <w:lang w:val="en-US"/>
        </w:rPr>
        <w:tab/>
      </w:r>
      <w:r w:rsidR="000A492D" w:rsidRPr="00DB6D42">
        <w:rPr>
          <w:rFonts w:ascii="Arial" w:hAnsi="Arial" w:cs="Arial"/>
          <w:noProof/>
        </w:rPr>
        <w:t xml:space="preserve">Sosa Estani S, Segura EL, Ruiz AM, Velazquez E, Porcel BM, Yampotis C. Efficacy of chemotherapy with benznidazole in children in the indeterminate phase of Chagas’ disease. </w:t>
      </w:r>
      <w:r w:rsidR="000A492D" w:rsidRPr="00904534">
        <w:rPr>
          <w:rFonts w:ascii="Arial" w:hAnsi="Arial" w:cs="Arial"/>
          <w:i/>
          <w:iCs/>
          <w:noProof/>
          <w:lang w:val="en-US"/>
        </w:rPr>
        <w:t>Am J Trop Med Hyg</w:t>
      </w:r>
      <w:r w:rsidR="000A492D" w:rsidRPr="00904534">
        <w:rPr>
          <w:rFonts w:ascii="Arial" w:hAnsi="Arial" w:cs="Arial"/>
          <w:noProof/>
          <w:lang w:val="en-US"/>
        </w:rPr>
        <w:t xml:space="preserve"> 1998; </w:t>
      </w:r>
      <w:r w:rsidR="000A492D" w:rsidRPr="00904534">
        <w:rPr>
          <w:rFonts w:ascii="Arial" w:hAnsi="Arial" w:cs="Arial"/>
          <w:b/>
          <w:bCs/>
          <w:noProof/>
          <w:lang w:val="en-US"/>
        </w:rPr>
        <w:t>59</w:t>
      </w:r>
      <w:r w:rsidR="000A492D" w:rsidRPr="00904534">
        <w:rPr>
          <w:rFonts w:ascii="Arial" w:hAnsi="Arial" w:cs="Arial"/>
          <w:noProof/>
          <w:lang w:val="en-US"/>
        </w:rPr>
        <w:t>: 526–9.</w:t>
      </w:r>
    </w:p>
    <w:p w14:paraId="1E3F15CE" w14:textId="53421B7D" w:rsidR="00A049D5" w:rsidRPr="00DB6D42" w:rsidRDefault="000C4EF7" w:rsidP="00BB5FF5">
      <w:pPr>
        <w:pStyle w:val="NormalWeb"/>
        <w:ind w:left="640" w:hanging="640"/>
        <w:divId w:val="971978305"/>
        <w:rPr>
          <w:rFonts w:ascii="Arial" w:hAnsi="Arial" w:cs="Arial"/>
          <w:noProof/>
        </w:rPr>
      </w:pPr>
      <w:r w:rsidRPr="00904534">
        <w:rPr>
          <w:rFonts w:ascii="Arial" w:hAnsi="Arial" w:cs="Arial"/>
          <w:noProof/>
          <w:lang w:val="en-US"/>
        </w:rPr>
        <w:t>27</w:t>
      </w:r>
      <w:r w:rsidR="00A049D5" w:rsidRPr="00904534">
        <w:rPr>
          <w:noProof/>
          <w:lang w:val="en-US"/>
        </w:rPr>
        <w:tab/>
      </w:r>
      <w:r w:rsidR="00A049D5" w:rsidRPr="00904534">
        <w:rPr>
          <w:rFonts w:ascii="Arial" w:hAnsi="Arial" w:cs="Arial"/>
          <w:noProof/>
          <w:lang w:val="en-US"/>
        </w:rPr>
        <w:t xml:space="preserve">Andrade AL, Martelli CM, Oliveira RM, et al. </w:t>
      </w:r>
      <w:r w:rsidR="00A049D5" w:rsidRPr="00DB6D42">
        <w:rPr>
          <w:rFonts w:ascii="Arial" w:hAnsi="Arial" w:cs="Arial"/>
          <w:noProof/>
        </w:rPr>
        <w:t xml:space="preserve">Short report: benznidazole efficacy among Trypanosoma cruzi-infected adolescents after a six-year follow-up. </w:t>
      </w:r>
      <w:r w:rsidR="00A049D5" w:rsidRPr="00DB6D42">
        <w:rPr>
          <w:rFonts w:ascii="Arial" w:hAnsi="Arial" w:cs="Arial"/>
          <w:i/>
          <w:noProof/>
        </w:rPr>
        <w:t>Am J Trop Med Hyg</w:t>
      </w:r>
      <w:r w:rsidR="00A049D5" w:rsidRPr="00DB6D42">
        <w:rPr>
          <w:rFonts w:ascii="Arial" w:hAnsi="Arial" w:cs="Arial"/>
          <w:noProof/>
        </w:rPr>
        <w:t xml:space="preserve"> 2004; </w:t>
      </w:r>
      <w:r w:rsidR="00A049D5" w:rsidRPr="00DB6D42">
        <w:rPr>
          <w:rFonts w:ascii="Arial" w:hAnsi="Arial" w:cs="Arial"/>
          <w:b/>
          <w:noProof/>
        </w:rPr>
        <w:t>71</w:t>
      </w:r>
      <w:r w:rsidR="00A049D5" w:rsidRPr="00DB6D42">
        <w:rPr>
          <w:rFonts w:ascii="Arial" w:hAnsi="Arial" w:cs="Arial"/>
          <w:noProof/>
        </w:rPr>
        <w:t>(5): 594-7.</w:t>
      </w:r>
    </w:p>
    <w:p w14:paraId="75343375" w14:textId="2A256FCA" w:rsidR="000A492D" w:rsidRPr="00DB6D42" w:rsidRDefault="000C4EF7" w:rsidP="00BB5FF5">
      <w:pPr>
        <w:pStyle w:val="NormalWeb"/>
        <w:ind w:left="640" w:hanging="640"/>
        <w:divId w:val="971978305"/>
        <w:rPr>
          <w:rFonts w:ascii="Arial" w:hAnsi="Arial" w:cs="Arial"/>
          <w:noProof/>
          <w:lang w:val="pt-BR"/>
        </w:rPr>
      </w:pPr>
      <w:r w:rsidRPr="00DB6D42">
        <w:rPr>
          <w:rFonts w:ascii="Arial" w:hAnsi="Arial" w:cs="Arial"/>
          <w:noProof/>
        </w:rPr>
        <w:t>28</w:t>
      </w:r>
      <w:r w:rsidR="000A492D" w:rsidRPr="00DB6D42">
        <w:rPr>
          <w:rFonts w:ascii="Arial" w:hAnsi="Arial" w:cs="Arial"/>
          <w:noProof/>
        </w:rPr>
        <w:tab/>
        <w:t xml:space="preserve">Pinazo M-J, Thomas MC, Bua J, </w:t>
      </w:r>
      <w:r w:rsidR="000A492D" w:rsidRPr="00DB6D42">
        <w:rPr>
          <w:rFonts w:ascii="Arial" w:hAnsi="Arial" w:cs="Arial"/>
          <w:i/>
          <w:iCs/>
          <w:noProof/>
        </w:rPr>
        <w:t>et al.</w:t>
      </w:r>
      <w:r w:rsidR="000A492D" w:rsidRPr="00DB6D42">
        <w:rPr>
          <w:rFonts w:ascii="Arial" w:hAnsi="Arial" w:cs="Arial"/>
          <w:noProof/>
        </w:rPr>
        <w:t xml:space="preserve"> Biological markers for evaluating therapeutic efficacy in Chagas disease, a systematic review. </w:t>
      </w:r>
      <w:r w:rsidR="000A492D" w:rsidRPr="00DB6D42">
        <w:rPr>
          <w:rFonts w:ascii="Arial" w:hAnsi="Arial" w:cs="Arial"/>
          <w:i/>
          <w:iCs/>
          <w:noProof/>
          <w:lang w:val="pt-BR"/>
        </w:rPr>
        <w:t>Expert Rev Anti Infect Ther</w:t>
      </w:r>
      <w:r w:rsidR="000A492D" w:rsidRPr="00DB6D42">
        <w:rPr>
          <w:rFonts w:ascii="Arial" w:hAnsi="Arial" w:cs="Arial"/>
          <w:noProof/>
          <w:lang w:val="pt-BR"/>
        </w:rPr>
        <w:t xml:space="preserve"> 2014; </w:t>
      </w:r>
      <w:r w:rsidR="000A492D" w:rsidRPr="00DB6D42">
        <w:rPr>
          <w:rFonts w:ascii="Arial" w:hAnsi="Arial" w:cs="Arial"/>
          <w:b/>
          <w:bCs/>
          <w:noProof/>
          <w:lang w:val="pt-BR"/>
        </w:rPr>
        <w:t>12</w:t>
      </w:r>
      <w:r w:rsidR="000A492D" w:rsidRPr="00DB6D42">
        <w:rPr>
          <w:rFonts w:ascii="Arial" w:hAnsi="Arial" w:cs="Arial"/>
          <w:noProof/>
          <w:lang w:val="pt-BR"/>
        </w:rPr>
        <w:t>: 479–96.</w:t>
      </w:r>
    </w:p>
    <w:p w14:paraId="6EA71579" w14:textId="793E6901" w:rsidR="000A492D" w:rsidRPr="00DB6D42" w:rsidRDefault="000C4EF7" w:rsidP="00BB5FF5">
      <w:pPr>
        <w:pStyle w:val="NormalWeb"/>
        <w:ind w:left="640" w:hanging="640"/>
        <w:divId w:val="971978305"/>
        <w:rPr>
          <w:rFonts w:ascii="Arial" w:hAnsi="Arial" w:cs="Arial"/>
          <w:noProof/>
          <w:lang w:val="en-US"/>
        </w:rPr>
      </w:pPr>
      <w:r w:rsidRPr="00DB6D42">
        <w:rPr>
          <w:rFonts w:ascii="Arial" w:hAnsi="Arial" w:cs="Arial"/>
          <w:noProof/>
          <w:lang w:val="pt-BR"/>
        </w:rPr>
        <w:t>29</w:t>
      </w:r>
      <w:r w:rsidR="000A492D" w:rsidRPr="00DB6D42">
        <w:rPr>
          <w:rFonts w:ascii="Arial" w:hAnsi="Arial" w:cs="Arial"/>
          <w:noProof/>
          <w:lang w:val="pt-BR"/>
        </w:rPr>
        <w:tab/>
        <w:t xml:space="preserve">Galvão LMC, Chiari E, Macedo AM, Luquetti AO, Silva SA, Andrade ALS. </w:t>
      </w:r>
      <w:r w:rsidR="000A492D" w:rsidRPr="00DB6D42">
        <w:rPr>
          <w:rFonts w:ascii="Arial" w:hAnsi="Arial" w:cs="Arial"/>
          <w:noProof/>
        </w:rPr>
        <w:t xml:space="preserve">PCR Assay for Monitoring Trypanosoma cruzi Parasitemia in Childhood after Specific Chemotherapy PCR Assay for Monitoring Trypanosoma cruzi Parasitemia in Childhood after Specific Chemotherapy. </w:t>
      </w:r>
      <w:r w:rsidR="000A492D" w:rsidRPr="00DB6D42">
        <w:rPr>
          <w:rFonts w:ascii="Arial" w:hAnsi="Arial" w:cs="Arial"/>
          <w:i/>
          <w:iCs/>
          <w:noProof/>
          <w:lang w:val="en-US"/>
        </w:rPr>
        <w:t>J Clin Microbiol</w:t>
      </w:r>
      <w:r w:rsidR="000A492D" w:rsidRPr="00DB6D42">
        <w:rPr>
          <w:rFonts w:ascii="Arial" w:hAnsi="Arial" w:cs="Arial"/>
          <w:noProof/>
          <w:lang w:val="en-US"/>
        </w:rPr>
        <w:t xml:space="preserve"> 2003; </w:t>
      </w:r>
      <w:r w:rsidR="000A492D" w:rsidRPr="00DB6D42">
        <w:rPr>
          <w:rFonts w:ascii="Arial" w:hAnsi="Arial" w:cs="Arial"/>
          <w:b/>
          <w:bCs/>
          <w:noProof/>
          <w:lang w:val="en-US"/>
        </w:rPr>
        <w:t>41</w:t>
      </w:r>
      <w:r w:rsidR="000A492D" w:rsidRPr="00DB6D42">
        <w:rPr>
          <w:rFonts w:ascii="Arial" w:hAnsi="Arial" w:cs="Arial"/>
          <w:noProof/>
          <w:lang w:val="en-US"/>
        </w:rPr>
        <w:t>: 5066.</w:t>
      </w:r>
    </w:p>
    <w:p w14:paraId="1AEFBA78" w14:textId="6A4F3649" w:rsidR="000A492D" w:rsidRPr="00DB6D42" w:rsidRDefault="00624B40" w:rsidP="00BB5FF5">
      <w:pPr>
        <w:pStyle w:val="NormalWeb"/>
        <w:ind w:left="640" w:hanging="640"/>
        <w:divId w:val="971978305"/>
        <w:rPr>
          <w:rFonts w:ascii="Arial" w:hAnsi="Arial" w:cs="Arial"/>
          <w:noProof/>
        </w:rPr>
      </w:pPr>
      <w:r w:rsidRPr="00DB6D42">
        <w:rPr>
          <w:rFonts w:ascii="Arial" w:hAnsi="Arial" w:cs="Arial"/>
          <w:noProof/>
          <w:lang w:val="en-US"/>
        </w:rPr>
        <w:t>3</w:t>
      </w:r>
      <w:r w:rsidR="000C4EF7" w:rsidRPr="00DB6D42">
        <w:rPr>
          <w:rFonts w:ascii="Arial" w:hAnsi="Arial" w:cs="Arial"/>
          <w:noProof/>
          <w:lang w:val="en-US"/>
        </w:rPr>
        <w:t>0</w:t>
      </w:r>
      <w:r w:rsidR="000A492D" w:rsidRPr="00DB6D42">
        <w:rPr>
          <w:rFonts w:ascii="Arial" w:hAnsi="Arial" w:cs="Arial"/>
          <w:noProof/>
          <w:lang w:val="en-US"/>
        </w:rPr>
        <w:tab/>
      </w:r>
      <w:r w:rsidR="000A492D" w:rsidRPr="00DB6D42">
        <w:rPr>
          <w:rFonts w:ascii="Arial" w:hAnsi="Arial" w:cs="Arial"/>
          <w:noProof/>
        </w:rPr>
        <w:t xml:space="preserve">Murcia L, Carrilero B, Munoz MJ, Iborra MA, Segovia M. Usefulness of PCR for monitoring benznidazole response in patients with chronic Chagas’ disease: a prospective study in a non-disease-endemic country. </w:t>
      </w:r>
      <w:r w:rsidR="000A492D" w:rsidRPr="00DB6D42">
        <w:rPr>
          <w:rFonts w:ascii="Arial" w:hAnsi="Arial" w:cs="Arial"/>
          <w:i/>
          <w:iCs/>
          <w:noProof/>
        </w:rPr>
        <w:t>J Antimicrob Chemother</w:t>
      </w:r>
      <w:r w:rsidR="000A492D" w:rsidRPr="00DB6D42">
        <w:rPr>
          <w:rFonts w:ascii="Arial" w:hAnsi="Arial" w:cs="Arial"/>
          <w:noProof/>
        </w:rPr>
        <w:t xml:space="preserve"> 2010; </w:t>
      </w:r>
      <w:r w:rsidR="000A492D" w:rsidRPr="00DB6D42">
        <w:rPr>
          <w:rFonts w:ascii="Arial" w:hAnsi="Arial" w:cs="Arial"/>
          <w:b/>
          <w:bCs/>
          <w:noProof/>
        </w:rPr>
        <w:t>65</w:t>
      </w:r>
      <w:r w:rsidR="000A492D" w:rsidRPr="00DB6D42">
        <w:rPr>
          <w:rFonts w:ascii="Arial" w:hAnsi="Arial" w:cs="Arial"/>
          <w:noProof/>
        </w:rPr>
        <w:t xml:space="preserve">: 1759–64. </w:t>
      </w:r>
      <w:r w:rsidR="009157A9" w:rsidRPr="00DB6D42">
        <w:rPr>
          <w:rFonts w:ascii="Arial" w:hAnsi="Arial" w:cs="Arial"/>
          <w:noProof/>
        </w:rPr>
        <w:t>l</w:t>
      </w:r>
    </w:p>
    <w:p w14:paraId="79D15CA4" w14:textId="77777777" w:rsidR="000E50F1" w:rsidRPr="00DB6D42" w:rsidRDefault="00E41460" w:rsidP="00BB5FF5">
      <w:pPr>
        <w:pStyle w:val="NormalWeb"/>
        <w:ind w:left="640" w:hanging="640"/>
        <w:divId w:val="613557092"/>
        <w:rPr>
          <w:b/>
          <w:lang w:val="en-US"/>
        </w:rPr>
        <w:sectPr w:rsidR="000E50F1" w:rsidRPr="00DB6D42" w:rsidSect="00C119DA">
          <w:pgSz w:w="11900" w:h="16820"/>
          <w:pgMar w:top="1440" w:right="1800" w:bottom="1440" w:left="1800" w:header="720" w:footer="720" w:gutter="0"/>
          <w:cols w:space="720"/>
          <w:noEndnote/>
          <w:docGrid w:linePitch="299"/>
        </w:sectPr>
      </w:pPr>
      <w:r w:rsidRPr="00DB6D42">
        <w:rPr>
          <w:b/>
          <w:lang w:val="en-US"/>
        </w:rPr>
        <w:fldChar w:fldCharType="end"/>
      </w:r>
    </w:p>
    <w:p w14:paraId="6FDBF19E" w14:textId="77777777" w:rsidR="009340A3" w:rsidRPr="00DB6D42" w:rsidRDefault="009340A3" w:rsidP="00BB5FF5">
      <w:pPr>
        <w:pStyle w:val="NormalWeb"/>
        <w:ind w:left="640" w:hanging="640"/>
        <w:divId w:val="613557092"/>
        <w:rPr>
          <w:b/>
          <w:lang w:val="en-US"/>
        </w:rPr>
        <w:sectPr w:rsidR="009340A3" w:rsidRPr="00DB6D42" w:rsidSect="000E50F1">
          <w:type w:val="continuous"/>
          <w:pgSz w:w="11900" w:h="16820"/>
          <w:pgMar w:top="1440" w:right="1800" w:bottom="1440" w:left="1800" w:header="720" w:footer="720" w:gutter="0"/>
          <w:cols w:space="720"/>
          <w:noEndnote/>
        </w:sectPr>
      </w:pPr>
    </w:p>
    <w:p w14:paraId="63D125EB" w14:textId="77777777" w:rsidR="00480F06" w:rsidRPr="00DB6D42" w:rsidRDefault="00480F06" w:rsidP="00BB5FF5">
      <w:pPr>
        <w:autoSpaceDE w:val="0"/>
        <w:autoSpaceDN w:val="0"/>
        <w:adjustRightInd w:val="0"/>
        <w:spacing w:after="0"/>
        <w:rPr>
          <w:rFonts w:eastAsia="Calibri" w:cs="Arial"/>
          <w:b/>
          <w:bCs/>
          <w:color w:val="000000"/>
          <w:lang w:val="en-US" w:eastAsia="en-US"/>
        </w:rPr>
      </w:pPr>
      <w:r w:rsidRPr="00DB6D42">
        <w:rPr>
          <w:rFonts w:eastAsia="Calibri" w:cs="Arial"/>
          <w:b/>
          <w:bCs/>
          <w:color w:val="000000"/>
          <w:lang w:val="en-US" w:eastAsia="en-US"/>
        </w:rPr>
        <w:lastRenderedPageBreak/>
        <w:t>Panel</w:t>
      </w:r>
    </w:p>
    <w:p w14:paraId="69A89B62" w14:textId="77777777" w:rsidR="00480F06" w:rsidRPr="00DB6D42" w:rsidRDefault="00480F06" w:rsidP="00BB5FF5">
      <w:pPr>
        <w:autoSpaceDE w:val="0"/>
        <w:autoSpaceDN w:val="0"/>
        <w:adjustRightInd w:val="0"/>
        <w:spacing w:after="0"/>
        <w:rPr>
          <w:rFonts w:eastAsia="Calibri" w:cs="Arial"/>
          <w:b/>
          <w:bCs/>
          <w:color w:val="000000"/>
          <w:lang w:val="en-US" w:eastAsia="en-US"/>
        </w:rPr>
      </w:pPr>
    </w:p>
    <w:p w14:paraId="045DF7D7" w14:textId="77777777" w:rsidR="00480F06" w:rsidRPr="00DB6D42" w:rsidRDefault="00480F06" w:rsidP="00BB5FF5">
      <w:pPr>
        <w:pBdr>
          <w:top w:val="single" w:sz="4" w:space="1" w:color="auto"/>
          <w:left w:val="single" w:sz="4" w:space="4" w:color="auto"/>
          <w:bottom w:val="single" w:sz="4" w:space="1" w:color="auto"/>
          <w:right w:val="single" w:sz="4" w:space="4" w:color="auto"/>
        </w:pBdr>
        <w:autoSpaceDE w:val="0"/>
        <w:autoSpaceDN w:val="0"/>
        <w:adjustRightInd w:val="0"/>
        <w:spacing w:after="0"/>
        <w:rPr>
          <w:rFonts w:eastAsia="Calibri" w:cs="Arial"/>
          <w:b/>
          <w:bCs/>
          <w:color w:val="000000"/>
          <w:lang w:val="en-US" w:eastAsia="en-US"/>
        </w:rPr>
      </w:pPr>
      <w:r w:rsidRPr="00DB6D42">
        <w:rPr>
          <w:rFonts w:eastAsia="Calibri" w:cs="Arial"/>
          <w:b/>
          <w:bCs/>
          <w:color w:val="000000"/>
          <w:lang w:val="en-US" w:eastAsia="en-US"/>
        </w:rPr>
        <w:t>Research in Context</w:t>
      </w:r>
    </w:p>
    <w:p w14:paraId="23F9A28A" w14:textId="77777777" w:rsidR="00480F06" w:rsidRPr="00DB6D42" w:rsidRDefault="00480F06" w:rsidP="00BB5FF5">
      <w:pPr>
        <w:pBdr>
          <w:top w:val="single" w:sz="4" w:space="1" w:color="auto"/>
          <w:left w:val="single" w:sz="4" w:space="4" w:color="auto"/>
          <w:bottom w:val="single" w:sz="4" w:space="1" w:color="auto"/>
          <w:right w:val="single" w:sz="4" w:space="4" w:color="auto"/>
        </w:pBdr>
        <w:autoSpaceDE w:val="0"/>
        <w:autoSpaceDN w:val="0"/>
        <w:adjustRightInd w:val="0"/>
        <w:spacing w:after="0"/>
        <w:rPr>
          <w:rFonts w:eastAsia="Calibri" w:cs="Arial"/>
          <w:b/>
          <w:bCs/>
          <w:color w:val="000000"/>
          <w:lang w:val="en-US" w:eastAsia="en-US"/>
        </w:rPr>
      </w:pPr>
    </w:p>
    <w:p w14:paraId="3ADD3AC9" w14:textId="77777777" w:rsidR="00480F06" w:rsidRPr="00DB6D42" w:rsidRDefault="00480F06" w:rsidP="00BB5FF5">
      <w:pPr>
        <w:pBdr>
          <w:top w:val="single" w:sz="4" w:space="1" w:color="auto"/>
          <w:left w:val="single" w:sz="4" w:space="4" w:color="auto"/>
          <w:bottom w:val="single" w:sz="4" w:space="1" w:color="auto"/>
          <w:right w:val="single" w:sz="4" w:space="4" w:color="auto"/>
        </w:pBdr>
        <w:autoSpaceDE w:val="0"/>
        <w:autoSpaceDN w:val="0"/>
        <w:adjustRightInd w:val="0"/>
        <w:spacing w:after="0"/>
        <w:rPr>
          <w:rFonts w:eastAsia="Calibri" w:cs="Arial"/>
          <w:b/>
          <w:bCs/>
          <w:color w:val="000000"/>
          <w:lang w:val="en-US" w:eastAsia="en-US"/>
        </w:rPr>
      </w:pPr>
      <w:r w:rsidRPr="00DB6D42">
        <w:rPr>
          <w:rFonts w:eastAsia="Calibri" w:cs="Arial"/>
          <w:b/>
          <w:bCs/>
          <w:color w:val="000000"/>
          <w:lang w:val="en-US" w:eastAsia="en-US"/>
        </w:rPr>
        <w:t>Evidence before this study</w:t>
      </w:r>
    </w:p>
    <w:p w14:paraId="542502C4" w14:textId="77777777" w:rsidR="00480F06" w:rsidRPr="00DB6D42" w:rsidRDefault="00480F06" w:rsidP="00BB5FF5">
      <w:pPr>
        <w:pBdr>
          <w:top w:val="single" w:sz="4" w:space="1" w:color="auto"/>
          <w:left w:val="single" w:sz="4" w:space="4" w:color="auto"/>
          <w:bottom w:val="single" w:sz="4" w:space="1" w:color="auto"/>
          <w:right w:val="single" w:sz="4" w:space="4" w:color="auto"/>
        </w:pBdr>
        <w:spacing w:line="276" w:lineRule="auto"/>
        <w:jc w:val="both"/>
        <w:rPr>
          <w:rFonts w:eastAsia="Batang" w:cs="Arial"/>
          <w:color w:val="000000"/>
          <w:lang w:val="en-US" w:eastAsia="ko-KR"/>
        </w:rPr>
      </w:pPr>
    </w:p>
    <w:p w14:paraId="2AE7F990" w14:textId="77777777" w:rsidR="00480F06" w:rsidRPr="00DB6D42" w:rsidRDefault="00480F06" w:rsidP="00BB5FF5">
      <w:pPr>
        <w:pBdr>
          <w:top w:val="single" w:sz="4" w:space="1" w:color="auto"/>
          <w:left w:val="single" w:sz="4" w:space="4" w:color="auto"/>
          <w:bottom w:val="single" w:sz="4" w:space="1" w:color="auto"/>
          <w:right w:val="single" w:sz="4" w:space="4" w:color="auto"/>
        </w:pBdr>
        <w:spacing w:line="276" w:lineRule="auto"/>
        <w:jc w:val="both"/>
        <w:rPr>
          <w:rFonts w:eastAsia="Batang" w:cs="Arial"/>
          <w:color w:val="000000"/>
          <w:lang w:val="en-US" w:eastAsia="ko-KR"/>
        </w:rPr>
      </w:pPr>
      <w:r w:rsidRPr="00DB6D42">
        <w:rPr>
          <w:rFonts w:eastAsia="Batang" w:cs="Arial"/>
          <w:color w:val="000000"/>
          <w:lang w:val="en-US" w:eastAsia="ko-KR"/>
        </w:rPr>
        <w:t>The only two medicines available for the treatment of Chagas disease (CD) - benznidazole (BZN) and nifurtimox - are known to cause some toxicity with limited data on therapeutic response, especially when used in adult chronic CD patients.</w:t>
      </w:r>
    </w:p>
    <w:p w14:paraId="205DD36B" w14:textId="77777777" w:rsidR="00480F06" w:rsidRPr="00DB6D42" w:rsidRDefault="00480F06" w:rsidP="00BB5FF5">
      <w:pPr>
        <w:pBdr>
          <w:top w:val="single" w:sz="4" w:space="1" w:color="auto"/>
          <w:left w:val="single" w:sz="4" w:space="4" w:color="auto"/>
          <w:bottom w:val="single" w:sz="4" w:space="1" w:color="auto"/>
          <w:right w:val="single" w:sz="4" w:space="4" w:color="auto"/>
        </w:pBdr>
        <w:spacing w:line="276" w:lineRule="auto"/>
        <w:jc w:val="both"/>
        <w:rPr>
          <w:rFonts w:eastAsia="Batang" w:cs="Arial"/>
          <w:color w:val="000000"/>
          <w:lang w:val="en-US" w:eastAsia="ko-KR"/>
        </w:rPr>
      </w:pPr>
      <w:r w:rsidRPr="00DB6D42">
        <w:rPr>
          <w:rFonts w:eastAsia="Batang" w:cs="Arial"/>
          <w:color w:val="000000"/>
          <w:lang w:val="en-US" w:eastAsia="ko-KR"/>
        </w:rPr>
        <w:t xml:space="preserve">Novel antifungal triazole derivatives including ravuconazole pro-drug E1224, have arisen as alternative treatments for CD. Ravuconazole inhibits </w:t>
      </w:r>
      <w:r w:rsidRPr="00DB6D42">
        <w:rPr>
          <w:rFonts w:eastAsia="Batang" w:cs="Arial"/>
          <w:i/>
          <w:color w:val="000000"/>
          <w:lang w:val="en-US" w:eastAsia="ko-KR"/>
        </w:rPr>
        <w:t xml:space="preserve">T. </w:t>
      </w:r>
      <w:proofErr w:type="spellStart"/>
      <w:r w:rsidRPr="00DB6D42">
        <w:rPr>
          <w:rFonts w:eastAsia="Batang" w:cs="Arial"/>
          <w:i/>
          <w:color w:val="000000"/>
          <w:lang w:val="en-US" w:eastAsia="ko-KR"/>
        </w:rPr>
        <w:t>cruzi</w:t>
      </w:r>
      <w:proofErr w:type="spellEnd"/>
      <w:r w:rsidRPr="00DB6D42">
        <w:rPr>
          <w:rFonts w:eastAsia="Batang" w:cs="Arial"/>
          <w:i/>
          <w:color w:val="000000"/>
          <w:lang w:val="en-US" w:eastAsia="ko-KR"/>
        </w:rPr>
        <w:t xml:space="preserve"> </w:t>
      </w:r>
      <w:r w:rsidRPr="00DB6D42">
        <w:rPr>
          <w:rFonts w:eastAsia="Batang" w:cs="Arial"/>
          <w:color w:val="000000"/>
          <w:lang w:val="en-US" w:eastAsia="ko-KR"/>
        </w:rPr>
        <w:t xml:space="preserve">ergosterol biosynthesis, which is essential for parasite growth and survival, and has pharmacokinetic properties suitable for treatment of disseminated intracellular infection. </w:t>
      </w:r>
    </w:p>
    <w:p w14:paraId="4A847BFF" w14:textId="77777777" w:rsidR="00480F06" w:rsidRPr="00DB6D42" w:rsidRDefault="00480F06" w:rsidP="00BB5FF5">
      <w:pPr>
        <w:pBdr>
          <w:top w:val="single" w:sz="4" w:space="1" w:color="auto"/>
          <w:left w:val="single" w:sz="4" w:space="4" w:color="auto"/>
          <w:bottom w:val="single" w:sz="4" w:space="1" w:color="auto"/>
          <w:right w:val="single" w:sz="4" w:space="4" w:color="auto"/>
        </w:pBdr>
        <w:spacing w:line="276" w:lineRule="auto"/>
        <w:jc w:val="both"/>
        <w:rPr>
          <w:rFonts w:eastAsia="Batang" w:cs="Arial"/>
          <w:color w:val="000000"/>
          <w:lang w:val="en-US" w:eastAsia="ko-KR"/>
        </w:rPr>
      </w:pPr>
      <w:r w:rsidRPr="00DB6D42">
        <w:rPr>
          <w:rFonts w:eastAsia="Batang" w:cs="Arial"/>
          <w:color w:val="000000"/>
          <w:lang w:val="en-US" w:eastAsia="ko-KR"/>
        </w:rPr>
        <w:t xml:space="preserve">We searched MEDLINE and the Cochrane CENTRAL register, for articles published up to December 2015, for </w:t>
      </w:r>
      <w:proofErr w:type="spellStart"/>
      <w:r w:rsidRPr="00DB6D42">
        <w:rPr>
          <w:rFonts w:eastAsia="Batang" w:cs="Arial"/>
          <w:color w:val="000000"/>
          <w:lang w:val="en-US" w:eastAsia="ko-KR"/>
        </w:rPr>
        <w:t>randomised</w:t>
      </w:r>
      <w:proofErr w:type="spellEnd"/>
      <w:r w:rsidRPr="00DB6D42">
        <w:rPr>
          <w:rFonts w:eastAsia="Batang" w:cs="Arial"/>
          <w:color w:val="000000"/>
          <w:lang w:val="en-US" w:eastAsia="ko-KR"/>
        </w:rPr>
        <w:t xml:space="preserve"> controlled trials of </w:t>
      </w:r>
      <w:proofErr w:type="spellStart"/>
      <w:r w:rsidRPr="00DB6D42">
        <w:rPr>
          <w:rFonts w:eastAsia="Batang" w:cs="Arial"/>
          <w:color w:val="000000"/>
          <w:lang w:val="en-US" w:eastAsia="ko-KR"/>
        </w:rPr>
        <w:t>trypanocidal</w:t>
      </w:r>
      <w:proofErr w:type="spellEnd"/>
      <w:r w:rsidRPr="00DB6D42">
        <w:rPr>
          <w:rFonts w:eastAsia="Batang" w:cs="Arial"/>
          <w:color w:val="000000"/>
          <w:lang w:val="en-US" w:eastAsia="ko-KR"/>
        </w:rPr>
        <w:t xml:space="preserve"> drug treatments of CD. This review was cross-referenced to published meta-analyses of </w:t>
      </w:r>
      <w:proofErr w:type="spellStart"/>
      <w:r w:rsidRPr="00DB6D42">
        <w:rPr>
          <w:rFonts w:eastAsia="Batang" w:cs="Arial"/>
          <w:color w:val="000000"/>
          <w:lang w:val="en-US" w:eastAsia="ko-KR"/>
        </w:rPr>
        <w:t>randomised</w:t>
      </w:r>
      <w:proofErr w:type="spellEnd"/>
      <w:r w:rsidRPr="00DB6D42">
        <w:rPr>
          <w:rFonts w:eastAsia="Batang" w:cs="Arial"/>
          <w:color w:val="000000"/>
          <w:lang w:val="en-US" w:eastAsia="ko-KR"/>
        </w:rPr>
        <w:t xml:space="preserve"> controlled trials and non-</w:t>
      </w:r>
      <w:proofErr w:type="spellStart"/>
      <w:r w:rsidRPr="00DB6D42">
        <w:rPr>
          <w:rFonts w:eastAsia="Batang" w:cs="Arial"/>
          <w:color w:val="000000"/>
          <w:lang w:val="en-US" w:eastAsia="ko-KR"/>
        </w:rPr>
        <w:t>randomised</w:t>
      </w:r>
      <w:proofErr w:type="spellEnd"/>
      <w:r w:rsidRPr="00DB6D42">
        <w:rPr>
          <w:rFonts w:eastAsia="Batang" w:cs="Arial"/>
          <w:color w:val="000000"/>
          <w:lang w:val="en-US" w:eastAsia="ko-KR"/>
        </w:rPr>
        <w:t xml:space="preserve"> studies of etiological treatment of CD. Five </w:t>
      </w:r>
      <w:proofErr w:type="spellStart"/>
      <w:r w:rsidRPr="00DB6D42">
        <w:rPr>
          <w:rFonts w:eastAsia="Batang" w:cs="Arial"/>
          <w:color w:val="000000"/>
          <w:lang w:val="en-US" w:eastAsia="ko-KR"/>
        </w:rPr>
        <w:t>randomised</w:t>
      </w:r>
      <w:proofErr w:type="spellEnd"/>
      <w:r w:rsidRPr="00DB6D42">
        <w:rPr>
          <w:rFonts w:eastAsia="Batang" w:cs="Arial"/>
          <w:color w:val="000000"/>
          <w:lang w:val="en-US" w:eastAsia="ko-KR"/>
        </w:rPr>
        <w:t xml:space="preserve"> controlled trials with BZN were identified, three of them placebo-controlled: two placebo-controlled trials in children with acute and early chronic CD, no trials in adult chronic indeterminate CD, and one trial placebo-controlled trial in adult chronic symptomatic CD. In the two placebo-controlled pediatric trials, BZN was superior to placebo in producing negative seroconversion of specific antibodies in children. The only published placebo-controlled trial in adults with advanced chronic cardiac CD concluded that BZN treatment did not impact the clinical progression of Chagas cardiomyopathy, despite significant reduction of circulating parasite load. Serological testing was not available in that study. To-date there has been no previous placebo-controlled </w:t>
      </w:r>
      <w:proofErr w:type="spellStart"/>
      <w:r w:rsidRPr="00DB6D42">
        <w:rPr>
          <w:rFonts w:eastAsia="Batang" w:cs="Arial"/>
          <w:color w:val="000000"/>
          <w:lang w:val="en-US" w:eastAsia="ko-KR"/>
        </w:rPr>
        <w:t>randomised</w:t>
      </w:r>
      <w:proofErr w:type="spellEnd"/>
      <w:r w:rsidRPr="00DB6D42">
        <w:rPr>
          <w:rFonts w:eastAsia="Batang" w:cs="Arial"/>
          <w:color w:val="000000"/>
          <w:lang w:val="en-US" w:eastAsia="ko-KR"/>
        </w:rPr>
        <w:t xml:space="preserve"> trials of BZN in adult patients with chronic indeterminate CD, thus with no target organ involvement.  </w:t>
      </w:r>
    </w:p>
    <w:p w14:paraId="5795D474" w14:textId="77777777" w:rsidR="00480F06" w:rsidRPr="00DB6D42" w:rsidRDefault="00480F06" w:rsidP="00BB5FF5">
      <w:pPr>
        <w:pBdr>
          <w:top w:val="single" w:sz="4" w:space="1" w:color="auto"/>
          <w:left w:val="single" w:sz="4" w:space="4" w:color="auto"/>
          <w:bottom w:val="single" w:sz="4" w:space="1" w:color="auto"/>
          <w:right w:val="single" w:sz="4" w:space="4" w:color="auto"/>
        </w:pBdr>
        <w:autoSpaceDE w:val="0"/>
        <w:autoSpaceDN w:val="0"/>
        <w:adjustRightInd w:val="0"/>
        <w:spacing w:after="0"/>
        <w:rPr>
          <w:rFonts w:eastAsia="Calibri" w:cs="Arial"/>
          <w:b/>
          <w:bCs/>
          <w:color w:val="000000"/>
          <w:lang w:val="en-US" w:eastAsia="en-US"/>
        </w:rPr>
      </w:pPr>
    </w:p>
    <w:p w14:paraId="2A0458C8" w14:textId="77777777" w:rsidR="00480F06" w:rsidRPr="00DB6D42" w:rsidRDefault="00480F06" w:rsidP="00BB5FF5">
      <w:pPr>
        <w:pBdr>
          <w:top w:val="single" w:sz="4" w:space="1" w:color="auto"/>
          <w:left w:val="single" w:sz="4" w:space="4" w:color="auto"/>
          <w:bottom w:val="single" w:sz="4" w:space="1" w:color="auto"/>
          <w:right w:val="single" w:sz="4" w:space="4" w:color="auto"/>
        </w:pBdr>
        <w:autoSpaceDE w:val="0"/>
        <w:autoSpaceDN w:val="0"/>
        <w:adjustRightInd w:val="0"/>
        <w:spacing w:after="0"/>
        <w:rPr>
          <w:rFonts w:eastAsia="Calibri" w:cs="Arial"/>
          <w:b/>
          <w:bCs/>
          <w:color w:val="000000"/>
          <w:lang w:val="en-US" w:eastAsia="en-US"/>
        </w:rPr>
      </w:pPr>
      <w:r w:rsidRPr="00DB6D42">
        <w:rPr>
          <w:rFonts w:eastAsia="Calibri" w:cs="Arial"/>
          <w:b/>
          <w:bCs/>
          <w:color w:val="000000"/>
          <w:lang w:val="en-US" w:eastAsia="en-US"/>
        </w:rPr>
        <w:t>Added value of this study</w:t>
      </w:r>
    </w:p>
    <w:p w14:paraId="03CEC70D" w14:textId="044514C4" w:rsidR="00480F06" w:rsidRPr="00DB6D42" w:rsidRDefault="00480F06" w:rsidP="00BB5FF5">
      <w:pPr>
        <w:pBdr>
          <w:top w:val="single" w:sz="4" w:space="1" w:color="auto"/>
          <w:left w:val="single" w:sz="4" w:space="4" w:color="auto"/>
          <w:bottom w:val="single" w:sz="4" w:space="1" w:color="auto"/>
          <w:right w:val="single" w:sz="4" w:space="4" w:color="auto"/>
        </w:pBdr>
        <w:shd w:val="clear" w:color="auto" w:fill="FFFFFF"/>
        <w:spacing w:before="100" w:beforeAutospacing="1" w:after="0" w:afterAutospacing="1" w:line="276" w:lineRule="auto"/>
        <w:jc w:val="both"/>
        <w:rPr>
          <w:rFonts w:eastAsia="Batang" w:cs="Arial"/>
          <w:color w:val="000000"/>
          <w:lang w:val="en-US" w:eastAsia="ko-KR"/>
        </w:rPr>
      </w:pPr>
      <w:r w:rsidRPr="00DB6D42">
        <w:rPr>
          <w:rFonts w:eastAsia="Batang" w:cs="Arial"/>
          <w:color w:val="000000"/>
          <w:lang w:val="en-US" w:eastAsia="ko-KR"/>
        </w:rPr>
        <w:t xml:space="preserve">E1224 is the first new chemical entity to be evaluated for CD in decades in a double-blind, placebo-controlled trial with BZN as a comparator. In addition, this study is to the best of our knowledge, the first randomized controlled trial to evaluate a BZN regimen in rigorously assessed adult patients with chronic CD with no evidence of cardiac involvement, using (triplicate) PCR as the primary outcome. Other biological markers of therapeutic response were also assessed, including conventional ELISA, </w:t>
      </w:r>
      <w:proofErr w:type="spellStart"/>
      <w:r w:rsidRPr="00DB6D42">
        <w:rPr>
          <w:rFonts w:eastAsia="Batang" w:cs="Arial"/>
          <w:color w:val="000000"/>
          <w:lang w:val="en-US" w:eastAsia="ko-KR"/>
        </w:rPr>
        <w:t>trypanolytic</w:t>
      </w:r>
      <w:proofErr w:type="spellEnd"/>
      <w:r w:rsidRPr="00DB6D42">
        <w:rPr>
          <w:rFonts w:eastAsia="Batang" w:cs="Arial"/>
          <w:color w:val="000000"/>
          <w:lang w:val="en-US" w:eastAsia="ko-KR"/>
        </w:rPr>
        <w:t xml:space="preserve"> anti-α-Gal antibodies (AT CL-ELISA), and conventional serological methods (CSM).</w:t>
      </w:r>
    </w:p>
    <w:p w14:paraId="2EB701C2" w14:textId="00DF4313" w:rsidR="00480F06" w:rsidRPr="00DB6D42" w:rsidRDefault="00480F06" w:rsidP="00BB5FF5">
      <w:pPr>
        <w:pBdr>
          <w:top w:val="single" w:sz="4" w:space="1" w:color="auto"/>
          <w:left w:val="single" w:sz="4" w:space="4" w:color="auto"/>
          <w:bottom w:val="single" w:sz="4" w:space="1" w:color="auto"/>
          <w:right w:val="single" w:sz="4" w:space="4" w:color="auto"/>
        </w:pBdr>
        <w:shd w:val="clear" w:color="auto" w:fill="FFFFFF"/>
        <w:spacing w:before="100" w:beforeAutospacing="1" w:after="0" w:afterAutospacing="1" w:line="276" w:lineRule="auto"/>
        <w:jc w:val="both"/>
        <w:rPr>
          <w:rFonts w:eastAsia="Batang" w:cs="Arial"/>
          <w:color w:val="000000"/>
          <w:lang w:val="en-US" w:eastAsia="ko-KR"/>
        </w:rPr>
      </w:pPr>
      <w:r w:rsidRPr="00DB6D42">
        <w:rPr>
          <w:rFonts w:eastAsia="Batang" w:cs="Arial"/>
          <w:color w:val="000000"/>
          <w:lang w:val="en-US" w:eastAsia="ko-KR"/>
        </w:rPr>
        <w:t xml:space="preserve">The size, placebo-controlled design, and primary endpoints enabled demonstration at high significance (p&lt;0·0001) that BZN is highly efficacious, with </w:t>
      </w:r>
      <w:r w:rsidR="007D475D" w:rsidRPr="00DB6D42">
        <w:rPr>
          <w:rFonts w:eastAsia="Batang" w:cs="Arial"/>
          <w:color w:val="000000"/>
          <w:lang w:val="en-US" w:eastAsia="ko-KR"/>
        </w:rPr>
        <w:t xml:space="preserve">substantial </w:t>
      </w:r>
      <w:r w:rsidRPr="00DB6D42">
        <w:rPr>
          <w:rFonts w:eastAsia="Batang" w:cs="Arial"/>
          <w:color w:val="000000"/>
          <w:lang w:val="en-US" w:eastAsia="ko-KR"/>
        </w:rPr>
        <w:t xml:space="preserve">early and sustained </w:t>
      </w:r>
      <w:proofErr w:type="spellStart"/>
      <w:r w:rsidRPr="00DB6D42">
        <w:rPr>
          <w:rFonts w:eastAsia="Batang" w:cs="Arial"/>
          <w:color w:val="000000"/>
          <w:lang w:val="en-US" w:eastAsia="ko-KR"/>
        </w:rPr>
        <w:t>trypanocidal</w:t>
      </w:r>
      <w:proofErr w:type="spellEnd"/>
      <w:r w:rsidRPr="00DB6D42">
        <w:rPr>
          <w:rFonts w:eastAsia="Batang" w:cs="Arial"/>
          <w:color w:val="000000"/>
          <w:lang w:val="en-US" w:eastAsia="ko-KR"/>
        </w:rPr>
        <w:t xml:space="preserve"> effect, corroborated by </w:t>
      </w:r>
      <w:r w:rsidR="007D475D" w:rsidRPr="00DB6D42">
        <w:rPr>
          <w:rFonts w:eastAsia="Batang" w:cs="Arial"/>
          <w:color w:val="000000"/>
          <w:lang w:val="en-US" w:eastAsia="ko-KR"/>
        </w:rPr>
        <w:t xml:space="preserve">significant </w:t>
      </w:r>
      <w:r w:rsidRPr="00DB6D42">
        <w:rPr>
          <w:rFonts w:eastAsia="Batang" w:cs="Arial"/>
          <w:color w:val="000000"/>
          <w:lang w:val="en-US" w:eastAsia="ko-KR"/>
        </w:rPr>
        <w:t xml:space="preserve">impact on negative seroconversion for </w:t>
      </w:r>
      <w:proofErr w:type="spellStart"/>
      <w:r w:rsidRPr="00DB6D42">
        <w:rPr>
          <w:rFonts w:eastAsia="Batang" w:cs="Arial"/>
          <w:color w:val="000000"/>
          <w:lang w:val="en-US" w:eastAsia="ko-KR"/>
        </w:rPr>
        <w:t>trypanolytic</w:t>
      </w:r>
      <w:proofErr w:type="spellEnd"/>
      <w:r w:rsidRPr="00DB6D42">
        <w:rPr>
          <w:rFonts w:eastAsia="Batang" w:cs="Arial"/>
          <w:color w:val="000000"/>
          <w:lang w:val="en-US" w:eastAsia="ko-KR"/>
        </w:rPr>
        <w:t xml:space="preserve"> anti-α-Gal antibodies. E1224 displayed a transient, suppressive effect on parasite </w:t>
      </w:r>
      <w:r w:rsidR="007D475D" w:rsidRPr="00DB6D42">
        <w:rPr>
          <w:rFonts w:eastAsia="Batang" w:cs="Arial"/>
          <w:color w:val="000000"/>
          <w:lang w:val="en-US" w:eastAsia="ko-KR"/>
        </w:rPr>
        <w:t xml:space="preserve">DNA </w:t>
      </w:r>
      <w:r w:rsidRPr="00DB6D42">
        <w:rPr>
          <w:rFonts w:eastAsia="Batang" w:cs="Arial"/>
          <w:color w:val="000000"/>
          <w:lang w:val="en-US" w:eastAsia="ko-KR"/>
        </w:rPr>
        <w:t>clearance.</w:t>
      </w:r>
    </w:p>
    <w:p w14:paraId="3DCB469E" w14:textId="5D241507" w:rsidR="00480F06" w:rsidRPr="00DB6D42" w:rsidRDefault="007D475D" w:rsidP="00BB5FF5">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eastAsia="Batang" w:cs="Arial"/>
          <w:color w:val="000000"/>
          <w:lang w:val="en-US" w:eastAsia="ko-KR"/>
        </w:rPr>
      </w:pPr>
      <w:r w:rsidRPr="00DB6D42">
        <w:rPr>
          <w:rFonts w:eastAsia="Batang" w:cs="Arial"/>
          <w:color w:val="000000"/>
          <w:lang w:val="en-US" w:eastAsia="ko-KR"/>
        </w:rPr>
        <w:lastRenderedPageBreak/>
        <w:t>Despite some known limitations of PCR in Chagas disease, t</w:t>
      </w:r>
      <w:r w:rsidR="00480F06" w:rsidRPr="00DB6D42">
        <w:rPr>
          <w:rFonts w:eastAsia="Batang" w:cs="Arial"/>
          <w:color w:val="000000"/>
          <w:lang w:val="en-US" w:eastAsia="ko-KR"/>
        </w:rPr>
        <w:t xml:space="preserve">he study found sensitivity to be sufficient as an </w:t>
      </w:r>
      <w:r w:rsidRPr="00DB6D42">
        <w:rPr>
          <w:rFonts w:eastAsia="Batang" w:cs="Arial"/>
          <w:color w:val="000000"/>
          <w:lang w:val="en-US" w:eastAsia="ko-KR"/>
        </w:rPr>
        <w:t xml:space="preserve">early </w:t>
      </w:r>
      <w:r w:rsidR="00480F06" w:rsidRPr="00DB6D42">
        <w:rPr>
          <w:rFonts w:eastAsia="Batang" w:cs="Arial"/>
          <w:color w:val="000000"/>
          <w:lang w:val="en-US" w:eastAsia="ko-KR"/>
        </w:rPr>
        <w:t xml:space="preserve">indicator of therapeutic </w:t>
      </w:r>
      <w:r w:rsidRPr="00DB6D42">
        <w:rPr>
          <w:rFonts w:eastAsia="Batang" w:cs="Arial"/>
          <w:color w:val="000000"/>
          <w:lang w:val="en-US" w:eastAsia="ko-KR"/>
        </w:rPr>
        <w:t>response</w:t>
      </w:r>
      <w:r w:rsidR="00480F06" w:rsidRPr="00DB6D42">
        <w:rPr>
          <w:rFonts w:eastAsia="Batang" w:cs="Arial"/>
          <w:color w:val="000000"/>
          <w:lang w:val="en-US" w:eastAsia="ko-KR"/>
        </w:rPr>
        <w:t xml:space="preserve">, provided that the technique is standardized and multiple samples and serial examination are used for increased sensitivity. In addition, the study corroborates the safety and pharmacokinetic-pharmacodynamic results of BZN and provides the first results of E1224 in humans with CD. </w:t>
      </w:r>
    </w:p>
    <w:p w14:paraId="3A60FEC1" w14:textId="77777777" w:rsidR="00480F06" w:rsidRPr="00DB6D42" w:rsidRDefault="00480F06" w:rsidP="00BB5FF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eastAsia="Batang" w:cs="Arial"/>
          <w:color w:val="000000"/>
          <w:lang w:val="en-US" w:eastAsia="ko-KR"/>
        </w:rPr>
      </w:pPr>
    </w:p>
    <w:p w14:paraId="361A0669" w14:textId="77777777" w:rsidR="00480F06" w:rsidRPr="00DB6D42" w:rsidRDefault="00480F06" w:rsidP="00BB5FF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eastAsia="Batang" w:cs="Arial"/>
          <w:b/>
          <w:color w:val="000000"/>
          <w:lang w:val="en-US" w:eastAsia="ko-KR"/>
        </w:rPr>
      </w:pPr>
      <w:r w:rsidRPr="00DB6D42">
        <w:rPr>
          <w:rFonts w:eastAsia="Batang" w:cs="Arial"/>
          <w:b/>
          <w:color w:val="000000"/>
          <w:lang w:val="en-US" w:eastAsia="ko-KR"/>
        </w:rPr>
        <w:t>Implications of all the available evidence</w:t>
      </w:r>
    </w:p>
    <w:p w14:paraId="1F74AAE3" w14:textId="77777777" w:rsidR="00480F06" w:rsidRPr="00DB6D42" w:rsidRDefault="00480F06" w:rsidP="00BB5FF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eastAsia="Batang" w:cs="Arial"/>
          <w:color w:val="000000"/>
          <w:lang w:val="en-US" w:eastAsia="ko-KR"/>
        </w:rPr>
      </w:pPr>
    </w:p>
    <w:p w14:paraId="59CC778B" w14:textId="77777777" w:rsidR="00480F06" w:rsidRPr="00DB6D42" w:rsidRDefault="00480F06" w:rsidP="00BB5FF5">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eastAsia="Batang" w:cs="Arial"/>
          <w:color w:val="000000"/>
          <w:lang w:val="en-US" w:eastAsia="ko-KR"/>
        </w:rPr>
      </w:pPr>
      <w:r w:rsidRPr="00DB6D42">
        <w:rPr>
          <w:rFonts w:eastAsia="Batang" w:cs="Arial"/>
          <w:color w:val="000000"/>
          <w:lang w:val="en-US" w:eastAsia="ko-KR"/>
        </w:rPr>
        <w:t>This study offers support to scaling up of diagnosis and access to standard regimens of BZN, and provides a roadmap for the development and registration of novel, alternative treatment regimens of BZN in monotherapy and in combinations with E1224 for the treatment of adults with chronic indeterminate CD.</w:t>
      </w:r>
    </w:p>
    <w:p w14:paraId="1412E85D" w14:textId="77777777" w:rsidR="00480F06" w:rsidRPr="00DB6D42" w:rsidRDefault="00480F06" w:rsidP="00BB5FF5">
      <w:pPr>
        <w:autoSpaceDE w:val="0"/>
        <w:autoSpaceDN w:val="0"/>
        <w:adjustRightInd w:val="0"/>
        <w:spacing w:after="0" w:line="276" w:lineRule="auto"/>
        <w:rPr>
          <w:rFonts w:eastAsia="Batang" w:cs="Arial"/>
          <w:color w:val="000000"/>
          <w:lang w:val="en-US" w:eastAsia="ko-KR"/>
        </w:rPr>
      </w:pPr>
    </w:p>
    <w:p w14:paraId="4060F0FE" w14:textId="77777777" w:rsidR="001566BA" w:rsidRPr="00DB6D42" w:rsidRDefault="00480F06" w:rsidP="00BB5FF5">
      <w:pPr>
        <w:spacing w:before="80" w:after="80"/>
        <w:jc w:val="both"/>
        <w:rPr>
          <w:sz w:val="20"/>
          <w:lang w:val="en-US"/>
        </w:rPr>
        <w:sectPr w:rsidR="001566BA" w:rsidRPr="00DB6D42" w:rsidSect="009D0215">
          <w:pgSz w:w="11901" w:h="16840"/>
          <w:pgMar w:top="1440" w:right="1797" w:bottom="1440" w:left="1797" w:header="720" w:footer="720" w:gutter="0"/>
          <w:cols w:space="720"/>
          <w:noEndnote/>
        </w:sectPr>
      </w:pPr>
      <w:r w:rsidRPr="00DB6D42">
        <w:rPr>
          <w:sz w:val="20"/>
          <w:lang w:val="en-US"/>
        </w:rPr>
        <w:br w:type="page"/>
      </w:r>
    </w:p>
    <w:p w14:paraId="57B43094" w14:textId="52E71B20" w:rsidR="00690F78" w:rsidRPr="00DB6D42" w:rsidRDefault="00F64EFF" w:rsidP="00DB6D42">
      <w:pPr>
        <w:spacing w:before="80" w:after="80"/>
        <w:jc w:val="center"/>
        <w:rPr>
          <w:rFonts w:ascii="ArialMT" w:hAnsi="ArialMT" w:cs="ArialMT"/>
          <w:lang w:val="en-US"/>
        </w:rPr>
      </w:pPr>
      <w:r w:rsidRPr="00DB6D42">
        <w:rPr>
          <w:rFonts w:ascii="ArialMT" w:hAnsi="ArialMT" w:cs="ArialMT"/>
          <w:noProof/>
          <w:lang w:val="en-US" w:eastAsia="en-US"/>
        </w:rPr>
        <w:lastRenderedPageBreak/>
        <w:drawing>
          <wp:inline distT="0" distB="0" distL="0" distR="0" wp14:anchorId="0DFF557D" wp14:editId="2EB1A6E5">
            <wp:extent cx="7365258" cy="4507951"/>
            <wp:effectExtent l="0" t="0" r="127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617" r="2337"/>
                    <a:stretch/>
                  </pic:blipFill>
                  <pic:spPr bwMode="auto">
                    <a:xfrm>
                      <a:off x="0" y="0"/>
                      <a:ext cx="7508842" cy="4595833"/>
                    </a:xfrm>
                    <a:prstGeom prst="rect">
                      <a:avLst/>
                    </a:prstGeom>
                    <a:ln>
                      <a:noFill/>
                    </a:ln>
                    <a:extLst>
                      <a:ext uri="{53640926-AAD7-44D8-BBD7-CCE9431645EC}">
                        <a14:shadowObscured xmlns:a14="http://schemas.microsoft.com/office/drawing/2010/main"/>
                      </a:ext>
                    </a:extLst>
                  </pic:spPr>
                </pic:pic>
              </a:graphicData>
            </a:graphic>
          </wp:inline>
        </w:drawing>
      </w:r>
    </w:p>
    <w:p w14:paraId="36473D0A" w14:textId="481F9EAB" w:rsidR="00690F78" w:rsidRPr="00DB6D42" w:rsidRDefault="009A50F7" w:rsidP="00BB5FF5">
      <w:pPr>
        <w:rPr>
          <w:rFonts w:ascii="ArialMT" w:hAnsi="ArialMT" w:cs="ArialMT"/>
          <w:lang w:val="en-US"/>
        </w:rPr>
      </w:pPr>
      <w:r w:rsidRPr="00DB6D42">
        <w:rPr>
          <w:rFonts w:ascii="ArialMT" w:hAnsi="ArialMT" w:cs="ArialMT"/>
          <w:noProof/>
          <w:lang w:val="en-US" w:eastAsia="en-US"/>
        </w:rPr>
        <mc:AlternateContent>
          <mc:Choice Requires="wps">
            <w:drawing>
              <wp:anchor distT="0" distB="0" distL="114300" distR="114300" simplePos="0" relativeHeight="251661312" behindDoc="0" locked="0" layoutInCell="1" allowOverlap="1" wp14:anchorId="259027EE" wp14:editId="4E3213F4">
                <wp:simplePos x="0" y="0"/>
                <wp:positionH relativeFrom="column">
                  <wp:posOffset>-60960</wp:posOffset>
                </wp:positionH>
                <wp:positionV relativeFrom="paragraph">
                  <wp:posOffset>36830</wp:posOffset>
                </wp:positionV>
                <wp:extent cx="8453120" cy="1172845"/>
                <wp:effectExtent l="0" t="0" r="0" b="0"/>
                <wp:wrapSquare wrapText="bothSides"/>
                <wp:docPr id="446" name="TextBox 1"/>
                <wp:cNvGraphicFramePr/>
                <a:graphic xmlns:a="http://schemas.openxmlformats.org/drawingml/2006/main">
                  <a:graphicData uri="http://schemas.microsoft.com/office/word/2010/wordprocessingShape">
                    <wps:wsp>
                      <wps:cNvSpPr txBox="1"/>
                      <wps:spPr>
                        <a:xfrm>
                          <a:off x="0" y="0"/>
                          <a:ext cx="8453120" cy="1172845"/>
                        </a:xfrm>
                        <a:prstGeom prst="rect">
                          <a:avLst/>
                        </a:prstGeom>
                        <a:noFill/>
                      </wps:spPr>
                      <wps:txbx>
                        <w:txbxContent>
                          <w:p w14:paraId="25976777" w14:textId="69ABA649" w:rsidR="00BF217F" w:rsidRPr="00DF1492" w:rsidRDefault="00BF217F" w:rsidP="008B4458">
                            <w:pPr>
                              <w:pStyle w:val="NormalWeb"/>
                              <w:spacing w:before="0" w:beforeAutospacing="0" w:after="0" w:afterAutospacing="0"/>
                              <w:jc w:val="both"/>
                              <w:rPr>
                                <w:rFonts w:ascii="Arial" w:hAnsi="Arial" w:cs="Arial"/>
                                <w:sz w:val="22"/>
                                <w:szCs w:val="22"/>
                              </w:rPr>
                            </w:pPr>
                            <w:r w:rsidRPr="00DF1492">
                              <w:rPr>
                                <w:rFonts w:ascii="Arial" w:hAnsi="Arial" w:cs="Arial"/>
                                <w:b/>
                                <w:bCs/>
                                <w:color w:val="000000" w:themeColor="text1"/>
                                <w:kern w:val="24"/>
                                <w:sz w:val="22"/>
                                <w:szCs w:val="22"/>
                              </w:rPr>
                              <w:t xml:space="preserve">Figure 1. Study Disposition. </w:t>
                            </w:r>
                            <w:r w:rsidRPr="00DF1492">
                              <w:rPr>
                                <w:rFonts w:ascii="Arial" w:hAnsi="Arial" w:cs="Arial"/>
                                <w:color w:val="000000" w:themeColor="text1"/>
                                <w:kern w:val="24"/>
                                <w:sz w:val="22"/>
                                <w:szCs w:val="22"/>
                              </w:rPr>
                              <w:t>ITT - intention-to-treat analysis set: all randomized patients by their assigned treatment arms (primary analysis set); PP - per-protocol analysis set: a subset of the ITT (and FAS) analysis set composed of all ITT patients without any major protocol deviations (compliance/ exposure deviation defined as less than 80% of the planned cumulative dose); FAS - full analysis as treated set: all randomized patients by their actual treatment arms (patients who did not receive treatment will not be included in this analysis set); SAF - safety (all treated) analysis set: all randomized, patients having received at least one dose of study therapy; EOT - end of treatment: all randomized patients by their actual treatment arms who did not discontinued treatment.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59027EE" id="_x0000_t202" coordsize="21600,21600" o:spt="202" path="m,l,21600r21600,l21600,xe">
                <v:stroke joinstyle="miter"/>
                <v:path gradientshapeok="t" o:connecttype="rect"/>
              </v:shapetype>
              <v:shape id="TextBox 1" o:spid="_x0000_s1026" type="#_x0000_t202" style="position:absolute;margin-left:-4.8pt;margin-top:2.9pt;width:665.6pt;height:9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" filled="f" stroked="f">
                <v:textbox>
                  <w:txbxContent>
                    <w:p w14:paraId="25976777" w14:textId="69ABA649" w:rsidR="00BF217F" w:rsidRPr="00DF1492" w:rsidRDefault="00BF217F" w:rsidP="008B4458">
                      <w:pPr>
                        <w:pStyle w:val="NormalWeb"/>
                        <w:spacing w:before="0" w:beforeAutospacing="0" w:after="0" w:afterAutospacing="0"/>
                        <w:jc w:val="both"/>
                        <w:rPr>
                          <w:rFonts w:ascii="Arial" w:hAnsi="Arial" w:cs="Arial"/>
                          <w:sz w:val="22"/>
                          <w:szCs w:val="22"/>
                        </w:rPr>
                      </w:pPr>
                      <w:r w:rsidRPr="00DF1492">
                        <w:rPr>
                          <w:rFonts w:ascii="Arial" w:hAnsi="Arial" w:cs="Arial"/>
                          <w:b/>
                          <w:bCs/>
                          <w:color w:val="000000" w:themeColor="text1"/>
                          <w:kern w:val="24"/>
                          <w:sz w:val="22"/>
                          <w:szCs w:val="22"/>
                        </w:rPr>
                        <w:t xml:space="preserve">Figure 1. Study Disposition. </w:t>
                      </w:r>
                      <w:r w:rsidRPr="00DF1492">
                        <w:rPr>
                          <w:rFonts w:ascii="Arial" w:hAnsi="Arial" w:cs="Arial"/>
                          <w:color w:val="000000" w:themeColor="text1"/>
                          <w:kern w:val="24"/>
                          <w:sz w:val="22"/>
                          <w:szCs w:val="22"/>
                        </w:rPr>
                        <w:t>ITT - intention-to-treat analysis set: all randomized patients by their assigned treatment arms (primary analysis set); PP - per-protocol analysis set: a subset of the ITT (and FAS) analysis set composed of all ITT patients without any major protocol deviations (compliance/ exposure deviation defined as less than 80% of the planned cumulative dose); FAS - full analysis as treated set: all randomized patients by their actual treatment arms (patients who did not receive treatment will not be included in this analysis set); SAF - safety (all treated) analysis set: all randomized, patients having received at least one dose of study therapy; EOT - end of treatment: all randomized patients by their actual treatment arms who did not discontinued treatment.</w:t>
                      </w:r>
                    </w:p>
                  </w:txbxContent>
                </v:textbox>
                <w10:wrap type="square"/>
              </v:shape>
            </w:pict>
          </mc:Fallback>
        </mc:AlternateContent>
      </w:r>
    </w:p>
    <w:p w14:paraId="109177A7" w14:textId="066EBC8B" w:rsidR="001566BA" w:rsidRPr="00DB6D42" w:rsidRDefault="001566BA" w:rsidP="00DB6D42">
      <w:pPr>
        <w:rPr>
          <w:rFonts w:ascii="ArialMT" w:hAnsi="ArialMT" w:cs="ArialMT"/>
          <w:lang w:val="en-US"/>
        </w:rPr>
        <w:sectPr w:rsidR="001566BA" w:rsidRPr="00DB6D42" w:rsidSect="00DB6D42">
          <w:headerReference w:type="default" r:id="rId17"/>
          <w:footerReference w:type="default" r:id="rId18"/>
          <w:pgSz w:w="16840" w:h="11901" w:orient="landscape"/>
          <w:pgMar w:top="1260" w:right="1440" w:bottom="1056" w:left="1440" w:header="0" w:footer="0" w:gutter="0"/>
          <w:cols w:space="720"/>
          <w:noEndnote/>
          <w:docGrid w:linePitch="299"/>
        </w:sectPr>
      </w:pPr>
    </w:p>
    <w:p w14:paraId="27C77637" w14:textId="02FB214F" w:rsidR="000E45D4" w:rsidRPr="00DB6D42" w:rsidRDefault="00DA5ED7" w:rsidP="000E45D4">
      <w:pPr>
        <w:spacing w:before="80" w:after="80"/>
        <w:rPr>
          <w:noProof/>
          <w:lang w:val="en-US" w:eastAsia="en-US"/>
        </w:rPr>
      </w:pPr>
      <w:r w:rsidRPr="00DB6D42" w:rsidDel="00DA5ED7">
        <w:rPr>
          <w:lang w:val="en-US"/>
        </w:rPr>
        <w:lastRenderedPageBreak/>
        <w:t xml:space="preserve"> </w:t>
      </w:r>
      <w:r w:rsidR="0030530C" w:rsidRPr="00DB6D42">
        <w:rPr>
          <w:noProof/>
          <w:lang w:val="en-US"/>
        </w:rPr>
        <mc:AlternateContent>
          <mc:Choice Requires="wps">
            <w:drawing>
              <wp:anchor distT="0" distB="0" distL="114300" distR="114300" simplePos="0" relativeHeight="251667456" behindDoc="0" locked="0" layoutInCell="1" allowOverlap="1" wp14:anchorId="4077F932" wp14:editId="18D0D8AC">
                <wp:simplePos x="0" y="0"/>
                <wp:positionH relativeFrom="column">
                  <wp:posOffset>0</wp:posOffset>
                </wp:positionH>
                <wp:positionV relativeFrom="paragraph">
                  <wp:posOffset>-635</wp:posOffset>
                </wp:positionV>
                <wp:extent cx="389850" cy="461665"/>
                <wp:effectExtent l="0" t="0" r="0" b="0"/>
                <wp:wrapNone/>
                <wp:docPr id="458" name="TextBox 21"/>
                <wp:cNvGraphicFramePr/>
                <a:graphic xmlns:a="http://schemas.openxmlformats.org/drawingml/2006/main">
                  <a:graphicData uri="http://schemas.microsoft.com/office/word/2010/wordprocessingShape">
                    <wps:wsp>
                      <wps:cNvSpPr txBox="1"/>
                      <wps:spPr>
                        <a:xfrm>
                          <a:off x="0" y="0"/>
                          <a:ext cx="389850" cy="461665"/>
                        </a:xfrm>
                        <a:prstGeom prst="rect">
                          <a:avLst/>
                        </a:prstGeom>
                        <a:noFill/>
                      </wps:spPr>
                      <wps:txbx>
                        <w:txbxContent>
                          <w:p w14:paraId="2818BE6C" w14:textId="77777777" w:rsidR="0030530C" w:rsidRDefault="0030530C" w:rsidP="0030530C">
                            <w:pPr>
                              <w:pStyle w:val="NormalWeb"/>
                              <w:spacing w:before="0" w:beforeAutospacing="0" w:after="0" w:afterAutospacing="0"/>
                              <w:rPr>
                                <w:sz w:val="24"/>
                                <w:szCs w:val="24"/>
                              </w:rPr>
                            </w:pPr>
                            <w:r>
                              <w:rPr>
                                <w:rFonts w:ascii="Arial" w:eastAsia="Arial" w:hAnsi="Arial" w:cs="Arial"/>
                                <w:color w:val="000000" w:themeColor="text1"/>
                                <w:kern w:val="24"/>
                                <w:sz w:val="48"/>
                                <w:szCs w:val="48"/>
                              </w:rPr>
                              <w:t>A</w:t>
                            </w:r>
                          </w:p>
                        </w:txbxContent>
                      </wps:txbx>
                      <wps:bodyPr wrap="none" rtlCol="0">
                        <a:spAutoFit/>
                      </wps:bodyPr>
                    </wps:wsp>
                  </a:graphicData>
                </a:graphic>
              </wp:anchor>
            </w:drawing>
          </mc:Choice>
          <mc:Fallback>
            <w:pict>
              <v:shape w14:anchorId="4077F932" id="TextBox 21" o:spid="_x0000_s1027" type="#_x0000_t202" style="position:absolute;margin-left:0;margin-top:-.05pt;width:30.7pt;height:36.3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" filled="f" stroked="f">
                <v:textbox style="mso-fit-shape-to-text:t">
                  <w:txbxContent>
                    <w:p w14:paraId="2818BE6C" w14:textId="77777777" w:rsidR="0030530C" w:rsidRDefault="0030530C" w:rsidP="0030530C">
                      <w:pPr>
                        <w:pStyle w:val="NormalWeb"/>
                        <w:spacing w:before="0" w:beforeAutospacing="0" w:after="0" w:afterAutospacing="0"/>
                        <w:rPr>
                          <w:sz w:val="24"/>
                          <w:szCs w:val="24"/>
                        </w:rPr>
                      </w:pPr>
                      <w:r>
                        <w:rPr>
                          <w:rFonts w:ascii="Arial" w:eastAsia="Arial" w:hAnsi="Arial" w:cs="Arial"/>
                          <w:color w:val="000000" w:themeColor="text1"/>
                          <w:kern w:val="24"/>
                          <w:sz w:val="48"/>
                          <w:szCs w:val="48"/>
                        </w:rPr>
                        <w:t>A</w:t>
                      </w:r>
                    </w:p>
                  </w:txbxContent>
                </v:textbox>
              </v:shape>
            </w:pict>
          </mc:Fallback>
        </mc:AlternateContent>
      </w:r>
      <w:r w:rsidR="000E45D4" w:rsidRPr="00DB6D42">
        <w:rPr>
          <w:noProof/>
          <w:lang w:val="en-US"/>
        </w:rPr>
        <mc:AlternateContent>
          <mc:Choice Requires="wps">
            <w:drawing>
              <wp:anchor distT="0" distB="0" distL="114300" distR="114300" simplePos="0" relativeHeight="251665408" behindDoc="0" locked="0" layoutInCell="1" allowOverlap="1" wp14:anchorId="16439BDF" wp14:editId="1F150286">
                <wp:simplePos x="0" y="0"/>
                <wp:positionH relativeFrom="column">
                  <wp:posOffset>-384810</wp:posOffset>
                </wp:positionH>
                <wp:positionV relativeFrom="paragraph">
                  <wp:posOffset>3368040</wp:posOffset>
                </wp:positionV>
                <wp:extent cx="389255" cy="393700"/>
                <wp:effectExtent l="0" t="0" r="0" b="0"/>
                <wp:wrapNone/>
                <wp:docPr id="456" name="TextBox 22"/>
                <wp:cNvGraphicFramePr/>
                <a:graphic xmlns:a="http://schemas.openxmlformats.org/drawingml/2006/main">
                  <a:graphicData uri="http://schemas.microsoft.com/office/word/2010/wordprocessingShape">
                    <wps:wsp>
                      <wps:cNvSpPr txBox="1"/>
                      <wps:spPr>
                        <a:xfrm>
                          <a:off x="0" y="0"/>
                          <a:ext cx="389255" cy="393700"/>
                        </a:xfrm>
                        <a:prstGeom prst="rect">
                          <a:avLst/>
                        </a:prstGeom>
                        <a:noFill/>
                      </wps:spPr>
                      <wps:txbx>
                        <w:txbxContent>
                          <w:p w14:paraId="2D3B8E17" w14:textId="77777777" w:rsidR="000E45D4" w:rsidRDefault="000E45D4" w:rsidP="000E45D4">
                            <w:pPr>
                              <w:pStyle w:val="NormalWeb"/>
                              <w:spacing w:before="0" w:beforeAutospacing="0" w:after="0" w:afterAutospacing="0"/>
                              <w:rPr>
                                <w:sz w:val="24"/>
                                <w:szCs w:val="24"/>
                              </w:rPr>
                            </w:pPr>
                            <w:r>
                              <w:rPr>
                                <w:rFonts w:ascii="Arial" w:eastAsia="Arial" w:hAnsi="Arial" w:cs="Arial"/>
                                <w:color w:val="000000" w:themeColor="text1"/>
                                <w:kern w:val="24"/>
                                <w:sz w:val="48"/>
                                <w:szCs w:val="48"/>
                              </w:rPr>
                              <w:t>B</w:t>
                            </w:r>
                          </w:p>
                        </w:txbxContent>
                      </wps:txbx>
                      <wps:bodyPr wrap="none" rtlCol="0">
                        <a:noAutofit/>
                      </wps:bodyPr>
                    </wps:wsp>
                  </a:graphicData>
                </a:graphic>
                <wp14:sizeRelV relativeFrom="margin">
                  <wp14:pctHeight>0</wp14:pctHeight>
                </wp14:sizeRelV>
              </wp:anchor>
            </w:drawing>
          </mc:Choice>
          <mc:Fallback>
            <w:pict>
              <v:shape w14:anchorId="16439BDF" id="TextBox 22" o:spid="_x0000_s1028" type="#_x0000_t202" style="position:absolute;margin-left:-30.3pt;margin-top:265.2pt;width:30.65pt;height:31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" filled="f" stroked="f">
                <v:textbox>
                  <w:txbxContent>
                    <w:p w14:paraId="2D3B8E17" w14:textId="77777777" w:rsidR="000E45D4" w:rsidRDefault="000E45D4" w:rsidP="000E45D4">
                      <w:pPr>
                        <w:pStyle w:val="NormalWeb"/>
                        <w:spacing w:before="0" w:beforeAutospacing="0" w:after="0" w:afterAutospacing="0"/>
                        <w:rPr>
                          <w:sz w:val="24"/>
                          <w:szCs w:val="24"/>
                        </w:rPr>
                      </w:pPr>
                      <w:r>
                        <w:rPr>
                          <w:rFonts w:ascii="Arial" w:eastAsia="Arial" w:hAnsi="Arial" w:cs="Arial"/>
                          <w:color w:val="000000" w:themeColor="text1"/>
                          <w:kern w:val="24"/>
                          <w:sz w:val="48"/>
                          <w:szCs w:val="48"/>
                        </w:rPr>
                        <w:t>B</w:t>
                      </w:r>
                    </w:p>
                  </w:txbxContent>
                </v:textbox>
              </v:shape>
            </w:pict>
          </mc:Fallback>
        </mc:AlternateContent>
      </w:r>
      <w:r w:rsidR="000E45D4" w:rsidRPr="00DB6D42">
        <w:rPr>
          <w:noProof/>
          <w:lang w:val="en-US" w:eastAsia="en-US"/>
        </w:rPr>
        <w:drawing>
          <wp:inline distT="0" distB="0" distL="0" distR="0" wp14:anchorId="3A6718A1" wp14:editId="040E7F76">
            <wp:extent cx="4572000" cy="3423285"/>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423285"/>
                    </a:xfrm>
                    <a:prstGeom prst="rect">
                      <a:avLst/>
                    </a:prstGeom>
                    <a:noFill/>
                    <a:ln>
                      <a:noFill/>
                    </a:ln>
                  </pic:spPr>
                </pic:pic>
              </a:graphicData>
            </a:graphic>
          </wp:inline>
        </w:drawing>
      </w:r>
    </w:p>
    <w:p w14:paraId="176CF3D5" w14:textId="468D3110" w:rsidR="000E45D4" w:rsidRPr="00DB6D42" w:rsidRDefault="000E45D4" w:rsidP="000E45D4">
      <w:pPr>
        <w:spacing w:before="80" w:after="80"/>
        <w:jc w:val="both"/>
        <w:rPr>
          <w:noProof/>
          <w:lang w:val="en-US" w:eastAsia="es-ES"/>
        </w:rPr>
      </w:pPr>
    </w:p>
    <w:p w14:paraId="68E2E658" w14:textId="22F55657" w:rsidR="0030530C" w:rsidRPr="00DB6D42" w:rsidRDefault="0030530C" w:rsidP="000E45D4">
      <w:pPr>
        <w:spacing w:before="80" w:after="80"/>
        <w:jc w:val="both"/>
        <w:rPr>
          <w:noProof/>
          <w:lang w:val="en-US" w:eastAsia="es-ES"/>
        </w:rPr>
      </w:pPr>
    </w:p>
    <w:p w14:paraId="0F8BF2DB" w14:textId="42E6314C" w:rsidR="0030530C" w:rsidRPr="00DB6D42" w:rsidRDefault="008F7B22" w:rsidP="000E45D4">
      <w:pPr>
        <w:spacing w:before="80" w:after="80"/>
        <w:jc w:val="both"/>
        <w:rPr>
          <w:noProof/>
          <w:lang w:val="en-US" w:eastAsia="es-ES"/>
        </w:rPr>
      </w:pPr>
      <w:r w:rsidRPr="00DB6D42">
        <w:rPr>
          <w:noProof/>
          <w:lang w:val="en-US" w:eastAsia="es-ES"/>
        </w:rPr>
        <w:drawing>
          <wp:anchor distT="0" distB="0" distL="114300" distR="114300" simplePos="0" relativeHeight="251679744" behindDoc="0" locked="0" layoutInCell="1" allowOverlap="1" wp14:anchorId="31CCF981" wp14:editId="2C0CD31D">
            <wp:simplePos x="0" y="0"/>
            <wp:positionH relativeFrom="column">
              <wp:posOffset>179705</wp:posOffset>
            </wp:positionH>
            <wp:positionV relativeFrom="paragraph">
              <wp:posOffset>25400</wp:posOffset>
            </wp:positionV>
            <wp:extent cx="5257800" cy="2736850"/>
            <wp:effectExtent l="0" t="0" r="0" b="6350"/>
            <wp:wrapNone/>
            <wp:docPr id="50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20">
                      <a:extLst>
                        <a:ext uri="{28A0092B-C50C-407E-A947-70E740481C1C}">
                          <a14:useLocalDpi xmlns:a14="http://schemas.microsoft.com/office/drawing/2010/main" val="0"/>
                        </a:ext>
                      </a:extLst>
                    </a:blip>
                    <a:srcRect l="4091" t="2500" r="975" b="7814"/>
                    <a:stretch/>
                  </pic:blipFill>
                  <pic:spPr bwMode="auto">
                    <a:xfrm>
                      <a:off x="0" y="0"/>
                      <a:ext cx="5257800" cy="273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CFD0E" w14:textId="51941A53" w:rsidR="0030530C" w:rsidRPr="00DB6D42" w:rsidRDefault="0030530C" w:rsidP="000E45D4">
      <w:pPr>
        <w:spacing w:before="80" w:after="80"/>
        <w:jc w:val="both"/>
        <w:rPr>
          <w:noProof/>
          <w:lang w:val="en-US" w:eastAsia="es-ES"/>
        </w:rPr>
      </w:pPr>
    </w:p>
    <w:p w14:paraId="22B2BE77" w14:textId="380A066C" w:rsidR="0030530C" w:rsidRPr="00DB6D42" w:rsidRDefault="0030530C" w:rsidP="000E45D4">
      <w:pPr>
        <w:spacing w:before="80" w:after="80"/>
        <w:jc w:val="both"/>
        <w:rPr>
          <w:noProof/>
          <w:lang w:val="en-US" w:eastAsia="es-ES"/>
        </w:rPr>
      </w:pPr>
    </w:p>
    <w:p w14:paraId="3A422AEF" w14:textId="12F36705" w:rsidR="0030530C" w:rsidRPr="00DB6D42" w:rsidRDefault="0030530C" w:rsidP="000E45D4">
      <w:pPr>
        <w:spacing w:before="80" w:after="80"/>
        <w:jc w:val="both"/>
        <w:rPr>
          <w:noProof/>
          <w:lang w:val="en-US" w:eastAsia="es-ES"/>
        </w:rPr>
      </w:pPr>
    </w:p>
    <w:p w14:paraId="333110B1" w14:textId="71572E4B" w:rsidR="0030530C" w:rsidRPr="00DB6D42" w:rsidRDefault="0030530C" w:rsidP="000E45D4">
      <w:pPr>
        <w:spacing w:before="80" w:after="80"/>
        <w:jc w:val="both"/>
        <w:rPr>
          <w:noProof/>
          <w:lang w:val="en-US" w:eastAsia="es-ES"/>
        </w:rPr>
      </w:pPr>
    </w:p>
    <w:p w14:paraId="384A4A8C" w14:textId="28FA14EF" w:rsidR="0030530C" w:rsidRPr="00DB6D42" w:rsidRDefault="008F7B22" w:rsidP="000E45D4">
      <w:pPr>
        <w:spacing w:before="80" w:after="80"/>
        <w:jc w:val="both"/>
        <w:rPr>
          <w:noProof/>
          <w:lang w:val="en-US" w:eastAsia="es-ES"/>
        </w:rPr>
      </w:pPr>
      <w:r w:rsidRPr="00DB6D42">
        <w:rPr>
          <w:noProof/>
          <w:lang w:val="en-US" w:eastAsia="es-ES"/>
        </w:rPr>
        <mc:AlternateContent>
          <mc:Choice Requires="wps">
            <w:drawing>
              <wp:anchor distT="0" distB="0" distL="114300" distR="114300" simplePos="0" relativeHeight="251684864" behindDoc="0" locked="0" layoutInCell="1" allowOverlap="1" wp14:anchorId="019A5F3E" wp14:editId="0CCC7AD6">
                <wp:simplePos x="0" y="0"/>
                <wp:positionH relativeFrom="column">
                  <wp:posOffset>-815023</wp:posOffset>
                </wp:positionH>
                <wp:positionV relativeFrom="paragraph">
                  <wp:posOffset>141288</wp:posOffset>
                </wp:positionV>
                <wp:extent cx="1616075" cy="276860"/>
                <wp:effectExtent l="0" t="8890" r="0" b="0"/>
                <wp:wrapNone/>
                <wp:docPr id="503" name="TextBox 11"/>
                <wp:cNvGraphicFramePr/>
                <a:graphic xmlns:a="http://schemas.openxmlformats.org/drawingml/2006/main">
                  <a:graphicData uri="http://schemas.microsoft.com/office/word/2010/wordprocessingShape">
                    <wps:wsp>
                      <wps:cNvSpPr txBox="1"/>
                      <wps:spPr>
                        <a:xfrm rot="16200000">
                          <a:off x="0" y="0"/>
                          <a:ext cx="1616075" cy="276860"/>
                        </a:xfrm>
                        <a:prstGeom prst="rect">
                          <a:avLst/>
                        </a:prstGeom>
                        <a:solidFill>
                          <a:schemeClr val="bg1"/>
                        </a:solidFill>
                      </wps:spPr>
                      <wps:txbx>
                        <w:txbxContent>
                          <w:p w14:paraId="218C5C56" w14:textId="77777777" w:rsidR="0030530C" w:rsidRDefault="0030530C" w:rsidP="0030530C">
                            <w:pPr>
                              <w:pStyle w:val="NormalWeb"/>
                              <w:spacing w:before="0" w:beforeAutospacing="0" w:after="0" w:afterAutospacing="0"/>
                              <w:jc w:val="center"/>
                              <w:rPr>
                                <w:sz w:val="24"/>
                                <w:szCs w:val="24"/>
                              </w:rPr>
                            </w:pPr>
                            <w:r>
                              <w:rPr>
                                <w:rFonts w:ascii="Arial" w:eastAsia="Arial" w:hAnsi="Arial" w:cs="Arial"/>
                                <w:color w:val="000000" w:themeColor="text1"/>
                                <w:kern w:val="24"/>
                              </w:rPr>
                              <w:t>Probability of relapse</w:t>
                            </w:r>
                          </w:p>
                        </w:txbxContent>
                      </wps:txbx>
                      <wps:bodyPr wrap="none" rtlCol="0">
                        <a:spAutoFit/>
                      </wps:bodyPr>
                    </wps:wsp>
                  </a:graphicData>
                </a:graphic>
              </wp:anchor>
            </w:drawing>
          </mc:Choice>
          <mc:Fallback>
            <w:pict>
              <v:shape w14:anchorId="019A5F3E" id="TextBox 11" o:spid="_x0000_s1029" type="#_x0000_t202" style="position:absolute;left:0;text-align:left;margin-left:-64.2pt;margin-top:11.15pt;width:127.25pt;height:21.8pt;rotation:-90;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" fillcolor="white [3212]" stroked="f">
                <v:textbox style="mso-fit-shape-to-text:t">
                  <w:txbxContent>
                    <w:p w14:paraId="218C5C56" w14:textId="77777777" w:rsidR="0030530C" w:rsidRDefault="0030530C" w:rsidP="0030530C">
                      <w:pPr>
                        <w:pStyle w:val="NormalWeb"/>
                        <w:spacing w:before="0" w:beforeAutospacing="0" w:after="0" w:afterAutospacing="0"/>
                        <w:jc w:val="center"/>
                        <w:rPr>
                          <w:sz w:val="24"/>
                          <w:szCs w:val="24"/>
                        </w:rPr>
                      </w:pPr>
                      <w:r>
                        <w:rPr>
                          <w:rFonts w:ascii="Arial" w:eastAsia="Arial" w:hAnsi="Arial" w:cs="Arial"/>
                          <w:color w:val="000000" w:themeColor="text1"/>
                          <w:kern w:val="24"/>
                        </w:rPr>
                        <w:t>Probability of relapse</w:t>
                      </w:r>
                    </w:p>
                  </w:txbxContent>
                </v:textbox>
              </v:shape>
            </w:pict>
          </mc:Fallback>
        </mc:AlternateContent>
      </w:r>
    </w:p>
    <w:p w14:paraId="11E16B40" w14:textId="03E4C7F5" w:rsidR="0030530C" w:rsidRPr="00DB6D42" w:rsidRDefault="008F7B22" w:rsidP="000E45D4">
      <w:pPr>
        <w:spacing w:before="80" w:after="80"/>
        <w:jc w:val="both"/>
        <w:rPr>
          <w:noProof/>
          <w:lang w:val="en-US" w:eastAsia="es-ES"/>
        </w:rPr>
      </w:pPr>
      <w:r w:rsidRPr="00DB6D42">
        <w:rPr>
          <w:noProof/>
          <w:lang w:val="en-US" w:eastAsia="es-ES"/>
        </w:rPr>
        <w:drawing>
          <wp:anchor distT="0" distB="0" distL="114300" distR="114300" simplePos="0" relativeHeight="251680768" behindDoc="0" locked="0" layoutInCell="1" allowOverlap="1" wp14:anchorId="6F297C50" wp14:editId="4F218F7E">
            <wp:simplePos x="0" y="0"/>
            <wp:positionH relativeFrom="column">
              <wp:posOffset>443865</wp:posOffset>
            </wp:positionH>
            <wp:positionV relativeFrom="paragraph">
              <wp:posOffset>35560</wp:posOffset>
            </wp:positionV>
            <wp:extent cx="1128395" cy="580390"/>
            <wp:effectExtent l="0" t="0" r="0" b="0"/>
            <wp:wrapNone/>
            <wp:docPr id="508"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rotWithShape="1">
                    <a:blip r:embed="rId20">
                      <a:extLst>
                        <a:ext uri="{28A0092B-C50C-407E-A947-70E740481C1C}">
                          <a14:useLocalDpi xmlns:a14="http://schemas.microsoft.com/office/drawing/2010/main" val="0"/>
                        </a:ext>
                      </a:extLst>
                    </a:blip>
                    <a:srcRect l="13643" t="46189" r="69736" b="39935"/>
                    <a:stretch/>
                  </pic:blipFill>
                  <pic:spPr bwMode="auto">
                    <a:xfrm>
                      <a:off x="0" y="0"/>
                      <a:ext cx="1128395" cy="580390"/>
                    </a:xfrm>
                    <a:prstGeom prst="rect">
                      <a:avLst/>
                    </a:prstGeom>
                    <a:noFill/>
                    <a:ln>
                      <a:noFill/>
                    </a:ln>
                  </pic:spPr>
                </pic:pic>
              </a:graphicData>
            </a:graphic>
          </wp:anchor>
        </w:drawing>
      </w:r>
    </w:p>
    <w:p w14:paraId="4241478C" w14:textId="343A23EB" w:rsidR="0030530C" w:rsidRPr="00DB6D42" w:rsidRDefault="0030530C" w:rsidP="000E45D4">
      <w:pPr>
        <w:spacing w:before="80" w:after="80"/>
        <w:jc w:val="both"/>
        <w:rPr>
          <w:noProof/>
          <w:lang w:val="en-US" w:eastAsia="es-ES"/>
        </w:rPr>
      </w:pPr>
    </w:p>
    <w:p w14:paraId="6BBA1369" w14:textId="5ADBA288" w:rsidR="0030530C" w:rsidRPr="00DB6D42" w:rsidRDefault="0030530C" w:rsidP="000E45D4">
      <w:pPr>
        <w:spacing w:before="80" w:after="80"/>
        <w:jc w:val="both"/>
        <w:rPr>
          <w:noProof/>
          <w:lang w:val="en-US" w:eastAsia="es-ES"/>
        </w:rPr>
      </w:pPr>
    </w:p>
    <w:p w14:paraId="56D37276" w14:textId="1B76D580" w:rsidR="0030530C" w:rsidRPr="00DB6D42" w:rsidRDefault="008F7B22" w:rsidP="000E45D4">
      <w:pPr>
        <w:spacing w:before="80" w:after="80"/>
        <w:jc w:val="both"/>
        <w:rPr>
          <w:noProof/>
          <w:lang w:val="en-US" w:eastAsia="es-ES"/>
        </w:rPr>
      </w:pPr>
      <w:r w:rsidRPr="00DB6D42">
        <w:rPr>
          <w:noProof/>
          <w:lang w:val="en-US" w:eastAsia="es-ES"/>
        </w:rPr>
        <w:drawing>
          <wp:anchor distT="0" distB="0" distL="114300" distR="114300" simplePos="0" relativeHeight="251681792" behindDoc="0" locked="0" layoutInCell="1" allowOverlap="1" wp14:anchorId="13A9751B" wp14:editId="6AF71D3E">
            <wp:simplePos x="0" y="0"/>
            <wp:positionH relativeFrom="column">
              <wp:posOffset>748665</wp:posOffset>
            </wp:positionH>
            <wp:positionV relativeFrom="paragraph">
              <wp:posOffset>52070</wp:posOffset>
            </wp:positionV>
            <wp:extent cx="756285" cy="432435"/>
            <wp:effectExtent l="0" t="0" r="5715" b="5715"/>
            <wp:wrapNone/>
            <wp:docPr id="509"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rotWithShape="1">
                    <a:blip r:embed="rId20">
                      <a:extLst>
                        <a:ext uri="{28A0092B-C50C-407E-A947-70E740481C1C}">
                          <a14:useLocalDpi xmlns:a14="http://schemas.microsoft.com/office/drawing/2010/main" val="0"/>
                        </a:ext>
                      </a:extLst>
                    </a:blip>
                    <a:srcRect l="13487" t="69685" r="76259" b="19758"/>
                    <a:stretch/>
                  </pic:blipFill>
                  <pic:spPr bwMode="auto">
                    <a:xfrm>
                      <a:off x="0" y="0"/>
                      <a:ext cx="756285" cy="432435"/>
                    </a:xfrm>
                    <a:prstGeom prst="rect">
                      <a:avLst/>
                    </a:prstGeom>
                    <a:noFill/>
                    <a:ln>
                      <a:noFill/>
                    </a:ln>
                  </pic:spPr>
                </pic:pic>
              </a:graphicData>
            </a:graphic>
          </wp:anchor>
        </w:drawing>
      </w:r>
    </w:p>
    <w:p w14:paraId="22561F59" w14:textId="1768A03B" w:rsidR="0030530C" w:rsidRPr="00DB6D42" w:rsidRDefault="0030530C" w:rsidP="000E45D4">
      <w:pPr>
        <w:spacing w:before="80" w:after="80"/>
        <w:jc w:val="both"/>
        <w:rPr>
          <w:noProof/>
          <w:lang w:val="en-US" w:eastAsia="es-ES"/>
        </w:rPr>
      </w:pPr>
    </w:p>
    <w:p w14:paraId="7C047058" w14:textId="44308A4F" w:rsidR="0030530C" w:rsidRPr="00DB6D42" w:rsidRDefault="0030530C" w:rsidP="000E45D4">
      <w:pPr>
        <w:spacing w:before="80" w:after="80"/>
        <w:jc w:val="both"/>
        <w:rPr>
          <w:noProof/>
          <w:lang w:val="en-US" w:eastAsia="es-ES"/>
        </w:rPr>
      </w:pPr>
    </w:p>
    <w:p w14:paraId="6EC34370" w14:textId="016EE384" w:rsidR="0030530C" w:rsidRPr="00DB6D42" w:rsidRDefault="008F7B22" w:rsidP="000E45D4">
      <w:pPr>
        <w:spacing w:before="80" w:after="80"/>
        <w:jc w:val="both"/>
        <w:rPr>
          <w:noProof/>
          <w:lang w:val="en-US" w:eastAsia="es-ES"/>
        </w:rPr>
      </w:pPr>
      <w:r w:rsidRPr="00DB6D42">
        <w:rPr>
          <w:noProof/>
          <w:lang w:val="en-US" w:eastAsia="en-US"/>
        </w:rPr>
        <mc:AlternateContent>
          <mc:Choice Requires="wps">
            <w:drawing>
              <wp:anchor distT="0" distB="0" distL="114300" distR="114300" simplePos="0" relativeHeight="251686912" behindDoc="0" locked="0" layoutInCell="1" allowOverlap="1" wp14:anchorId="431BC952" wp14:editId="4A26E9A2">
                <wp:simplePos x="0" y="0"/>
                <wp:positionH relativeFrom="column">
                  <wp:posOffset>4408170</wp:posOffset>
                </wp:positionH>
                <wp:positionV relativeFrom="paragraph">
                  <wp:posOffset>177800</wp:posOffset>
                </wp:positionV>
                <wp:extent cx="1133194" cy="276999"/>
                <wp:effectExtent l="0" t="0" r="7620" b="8890"/>
                <wp:wrapNone/>
                <wp:docPr id="492" name="TextBox 12"/>
                <wp:cNvGraphicFramePr/>
                <a:graphic xmlns:a="http://schemas.openxmlformats.org/drawingml/2006/main">
                  <a:graphicData uri="http://schemas.microsoft.com/office/word/2010/wordprocessingShape">
                    <wps:wsp>
                      <wps:cNvSpPr txBox="1"/>
                      <wps:spPr>
                        <a:xfrm>
                          <a:off x="0" y="0"/>
                          <a:ext cx="1133194" cy="276999"/>
                        </a:xfrm>
                        <a:prstGeom prst="rect">
                          <a:avLst/>
                        </a:prstGeom>
                        <a:solidFill>
                          <a:schemeClr val="bg1"/>
                        </a:solidFill>
                      </wps:spPr>
                      <wps:txbx>
                        <w:txbxContent>
                          <w:p w14:paraId="72CDF956" w14:textId="77777777" w:rsidR="008F7B22" w:rsidRDefault="008F7B22" w:rsidP="008F7B22">
                            <w:pPr>
                              <w:pStyle w:val="NormalWeb"/>
                              <w:spacing w:before="0" w:beforeAutospacing="0" w:after="0" w:afterAutospacing="0"/>
                              <w:jc w:val="center"/>
                              <w:rPr>
                                <w:sz w:val="24"/>
                                <w:szCs w:val="24"/>
                              </w:rPr>
                            </w:pPr>
                            <w:r>
                              <w:rPr>
                                <w:rFonts w:ascii="Arial" w:eastAsia="Arial" w:hAnsi="Arial" w:cs="Arial"/>
                                <w:color w:val="000000" w:themeColor="text1"/>
                                <w:kern w:val="24"/>
                              </w:rPr>
                              <w:t>Time (Weeks)</w:t>
                            </w:r>
                          </w:p>
                        </w:txbxContent>
                      </wps:txbx>
                      <wps:bodyPr wrap="none" rtlCol="0">
                        <a:spAutoFit/>
                      </wps:bodyPr>
                    </wps:wsp>
                  </a:graphicData>
                </a:graphic>
              </wp:anchor>
            </w:drawing>
          </mc:Choice>
          <mc:Fallback>
            <w:pict>
              <v:shape w14:anchorId="431BC952" id="TextBox 12" o:spid="_x0000_s1030" type="#_x0000_t202" style="position:absolute;left:0;text-align:left;margin-left:347.1pt;margin-top:14pt;width:89.25pt;height:21.8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" fillcolor="white [3212]" stroked="f">
                <v:textbox style="mso-fit-shape-to-text:t">
                  <w:txbxContent>
                    <w:p w14:paraId="72CDF956" w14:textId="77777777" w:rsidR="008F7B22" w:rsidRDefault="008F7B22" w:rsidP="008F7B22">
                      <w:pPr>
                        <w:pStyle w:val="NormalWeb"/>
                        <w:spacing w:before="0" w:beforeAutospacing="0" w:after="0" w:afterAutospacing="0"/>
                        <w:jc w:val="center"/>
                        <w:rPr>
                          <w:sz w:val="24"/>
                          <w:szCs w:val="24"/>
                        </w:rPr>
                      </w:pPr>
                      <w:r>
                        <w:rPr>
                          <w:rFonts w:ascii="Arial" w:eastAsia="Arial" w:hAnsi="Arial" w:cs="Arial"/>
                          <w:color w:val="000000" w:themeColor="text1"/>
                          <w:kern w:val="24"/>
                        </w:rPr>
                        <w:t>Time (Weeks)</w:t>
                      </w:r>
                    </w:p>
                  </w:txbxContent>
                </v:textbox>
              </v:shape>
            </w:pict>
          </mc:Fallback>
        </mc:AlternateContent>
      </w:r>
    </w:p>
    <w:p w14:paraId="7147F66D" w14:textId="66DE83B0" w:rsidR="0030530C" w:rsidRPr="00DB6D42" w:rsidRDefault="0030530C" w:rsidP="000E45D4">
      <w:pPr>
        <w:spacing w:before="80" w:after="80"/>
        <w:jc w:val="both"/>
        <w:rPr>
          <w:noProof/>
          <w:lang w:val="en-US" w:eastAsia="es-ES"/>
        </w:rPr>
      </w:pPr>
    </w:p>
    <w:p w14:paraId="3CF94D4B" w14:textId="3B13F774" w:rsidR="0030530C" w:rsidRPr="00DB6D42" w:rsidRDefault="0030530C" w:rsidP="000E45D4">
      <w:pPr>
        <w:spacing w:before="80" w:after="80"/>
        <w:jc w:val="both"/>
        <w:rPr>
          <w:noProof/>
          <w:lang w:val="en-US" w:eastAsia="es-ES"/>
        </w:rPr>
      </w:pPr>
    </w:p>
    <w:p w14:paraId="1777F5FE" w14:textId="47E9ED75" w:rsidR="0059299B" w:rsidRPr="00DB6D42" w:rsidRDefault="00E37EAB" w:rsidP="00BB5FF5">
      <w:pPr>
        <w:spacing w:before="80" w:after="80"/>
        <w:jc w:val="both"/>
      </w:pPr>
      <w:r w:rsidRPr="00DB6D42">
        <w:rPr>
          <w:b/>
          <w:lang w:val="en-US"/>
        </w:rPr>
        <w:t>Figure 2.</w:t>
      </w:r>
      <w:r w:rsidR="00B53AC6" w:rsidRPr="00DB6D42">
        <w:rPr>
          <w:b/>
          <w:lang w:val="en-US"/>
        </w:rPr>
        <w:t xml:space="preserve"> (A) </w:t>
      </w:r>
      <w:r w:rsidR="00575852" w:rsidRPr="00DB6D42">
        <w:rPr>
          <w:b/>
          <w:lang w:val="en-US"/>
        </w:rPr>
        <w:t>Sequential quantitative PCR measurements.</w:t>
      </w:r>
      <w:r w:rsidR="00575852" w:rsidRPr="00DB6D42">
        <w:rPr>
          <w:lang w:val="en-US"/>
        </w:rPr>
        <w:t xml:space="preserve"> The mean of </w:t>
      </w:r>
      <w:r w:rsidR="00575852" w:rsidRPr="00DB6D42">
        <w:t>qPCR-Based responses was derived during the treatment phase (left panel) and over time up to 12 months post-treatment (right panel).</w:t>
      </w:r>
      <w:r w:rsidR="00575852" w:rsidRPr="00DB6D42">
        <w:rPr>
          <w:lang w:val="en-US"/>
        </w:rPr>
        <w:t xml:space="preserve"> </w:t>
      </w:r>
      <w:r w:rsidR="0075253B" w:rsidRPr="00DB6D42">
        <w:t>Plc=Placebo.</w:t>
      </w:r>
      <w:r w:rsidR="0075253B" w:rsidRPr="00DB6D42">
        <w:rPr>
          <w:lang w:val="en-US"/>
        </w:rPr>
        <w:t xml:space="preserve"> </w:t>
      </w:r>
      <w:r w:rsidR="00B53AC6" w:rsidRPr="00DB6D42">
        <w:rPr>
          <w:b/>
          <w:lang w:val="en-US"/>
        </w:rPr>
        <w:t xml:space="preserve">(B) </w:t>
      </w:r>
      <w:r w:rsidRPr="00DB6D42">
        <w:rPr>
          <w:b/>
          <w:lang w:val="en-US"/>
        </w:rPr>
        <w:t>PKPD</w:t>
      </w:r>
      <w:r w:rsidR="00B53AC6" w:rsidRPr="00DB6D42">
        <w:rPr>
          <w:b/>
          <w:lang w:val="en-US"/>
        </w:rPr>
        <w:t xml:space="preserve"> model of</w:t>
      </w:r>
      <w:r w:rsidRPr="00DB6D42">
        <w:rPr>
          <w:b/>
          <w:lang w:val="en-US"/>
        </w:rPr>
        <w:t xml:space="preserve"> predicted probability of relapse.</w:t>
      </w:r>
      <w:r w:rsidRPr="00DB6D42">
        <w:rPr>
          <w:lang w:val="en-US"/>
        </w:rPr>
        <w:t xml:space="preserve"> </w:t>
      </w:r>
      <w:r w:rsidR="0059299B" w:rsidRPr="00DB6D42">
        <w:t xml:space="preserve">The continuous lines in the graph are model predictions </w:t>
      </w:r>
      <w:r w:rsidR="00D76A1B" w:rsidRPr="00DB6D42">
        <w:t xml:space="preserve">of the probability of relapse </w:t>
      </w:r>
      <w:r w:rsidR="0059299B" w:rsidRPr="00DB6D42">
        <w:t xml:space="preserve">using E1224 at </w:t>
      </w:r>
      <w:r w:rsidR="001C74C5" w:rsidRPr="00DB6D42">
        <w:t>different treatment regimens</w:t>
      </w:r>
      <w:r w:rsidR="00B53AC6" w:rsidRPr="00DB6D42">
        <w:t xml:space="preserve">. </w:t>
      </w:r>
      <w:r w:rsidR="00575852" w:rsidRPr="00DB6D42">
        <w:t>For clarity reasons, the 95% CI (shaded area) for these predictions is only shown for the E1224 High Dose cohort. Circles represent the observed population of patients with relapse.</w:t>
      </w:r>
    </w:p>
    <w:p w14:paraId="34B1F480" w14:textId="77777777" w:rsidR="004D53AF" w:rsidRPr="00DB6D42" w:rsidRDefault="004D53AF" w:rsidP="00BB5FF5">
      <w:pPr>
        <w:spacing w:before="80" w:after="80"/>
        <w:jc w:val="center"/>
        <w:rPr>
          <w:noProof/>
          <w:lang w:val="en-US" w:eastAsia="en-US"/>
        </w:rPr>
      </w:pPr>
    </w:p>
    <w:p w14:paraId="5FD418DD" w14:textId="042FAEE9" w:rsidR="004D53AF" w:rsidRPr="00DB6D42" w:rsidRDefault="004D53AF" w:rsidP="00BB5FF5">
      <w:pPr>
        <w:spacing w:before="80" w:after="80"/>
        <w:jc w:val="center"/>
        <w:rPr>
          <w:noProof/>
          <w:lang w:val="en-US" w:eastAsia="en-US"/>
        </w:rPr>
      </w:pPr>
    </w:p>
    <w:p w14:paraId="1843E96F" w14:textId="0867D8F8" w:rsidR="004D53AF" w:rsidRPr="00DB6D42" w:rsidRDefault="0030530C" w:rsidP="00BB5FF5">
      <w:pPr>
        <w:spacing w:before="80" w:after="80"/>
        <w:jc w:val="center"/>
        <w:rPr>
          <w:noProof/>
          <w:lang w:val="en-US" w:eastAsia="en-US"/>
        </w:rPr>
      </w:pPr>
      <w:r w:rsidRPr="00DB6D42">
        <w:rPr>
          <w:noProof/>
          <w:lang w:val="en-US" w:eastAsia="en-US"/>
        </w:rPr>
        <mc:AlternateContent>
          <mc:Choice Requires="wps">
            <w:drawing>
              <wp:anchor distT="0" distB="0" distL="114300" distR="114300" simplePos="0" relativeHeight="251674624" behindDoc="0" locked="0" layoutInCell="1" allowOverlap="1" wp14:anchorId="6B7CD864" wp14:editId="019692E0">
                <wp:simplePos x="0" y="0"/>
                <wp:positionH relativeFrom="column">
                  <wp:posOffset>-1094105</wp:posOffset>
                </wp:positionH>
                <wp:positionV relativeFrom="paragraph">
                  <wp:posOffset>-3061335</wp:posOffset>
                </wp:positionV>
                <wp:extent cx="1616148" cy="276999"/>
                <wp:effectExtent l="0" t="8890" r="0" b="0"/>
                <wp:wrapNone/>
                <wp:docPr id="494" name="TextBox 11"/>
                <wp:cNvGraphicFramePr/>
                <a:graphic xmlns:a="http://schemas.openxmlformats.org/drawingml/2006/main">
                  <a:graphicData uri="http://schemas.microsoft.com/office/word/2010/wordprocessingShape">
                    <wps:wsp>
                      <wps:cNvSpPr txBox="1"/>
                      <wps:spPr>
                        <a:xfrm rot="16200000">
                          <a:off x="0" y="0"/>
                          <a:ext cx="1616148" cy="276999"/>
                        </a:xfrm>
                        <a:prstGeom prst="rect">
                          <a:avLst/>
                        </a:prstGeom>
                        <a:solidFill>
                          <a:schemeClr val="bg1"/>
                        </a:solidFill>
                      </wps:spPr>
                      <wps:txbx>
                        <w:txbxContent>
                          <w:p w14:paraId="1B877E64" w14:textId="77777777" w:rsidR="0030530C" w:rsidRDefault="0030530C" w:rsidP="0030530C">
                            <w:pPr>
                              <w:pStyle w:val="NormalWeb"/>
                              <w:spacing w:before="0" w:beforeAutospacing="0" w:after="0" w:afterAutospacing="0"/>
                              <w:jc w:val="center"/>
                              <w:rPr>
                                <w:sz w:val="24"/>
                                <w:szCs w:val="24"/>
                              </w:rPr>
                            </w:pPr>
                            <w:r>
                              <w:rPr>
                                <w:rFonts w:ascii="Arial" w:eastAsia="Arial" w:hAnsi="Arial" w:cs="Arial"/>
                                <w:color w:val="000000" w:themeColor="text1"/>
                                <w:kern w:val="24"/>
                              </w:rPr>
                              <w:t>Probability of relapse</w:t>
                            </w:r>
                          </w:p>
                        </w:txbxContent>
                      </wps:txbx>
                      <wps:bodyPr wrap="none" rtlCol="0">
                        <a:spAutoFit/>
                      </wps:bodyPr>
                    </wps:wsp>
                  </a:graphicData>
                </a:graphic>
              </wp:anchor>
            </w:drawing>
          </mc:Choice>
          <mc:Fallback>
            <w:pict>
              <v:shape w14:anchorId="6B7CD864" id="_x0000_s1031" type="#_x0000_t202" style="position:absolute;left:0;text-align:left;margin-left:-86.15pt;margin-top:-241.05pt;width:127.25pt;height:21.8pt;rotation:-90;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" fillcolor="white [3212]" stroked="f">
                <v:textbox style="mso-fit-shape-to-text:t">
                  <w:txbxContent>
                    <w:p w14:paraId="1B877E64" w14:textId="77777777" w:rsidR="0030530C" w:rsidRDefault="0030530C" w:rsidP="0030530C">
                      <w:pPr>
                        <w:pStyle w:val="NormalWeb"/>
                        <w:spacing w:before="0" w:beforeAutospacing="0" w:after="0" w:afterAutospacing="0"/>
                        <w:jc w:val="center"/>
                        <w:rPr>
                          <w:sz w:val="24"/>
                          <w:szCs w:val="24"/>
                        </w:rPr>
                      </w:pPr>
                      <w:r>
                        <w:rPr>
                          <w:rFonts w:ascii="Arial" w:eastAsia="Arial" w:hAnsi="Arial" w:cs="Arial"/>
                          <w:color w:val="000000" w:themeColor="text1"/>
                          <w:kern w:val="24"/>
                        </w:rPr>
                        <w:t>Probability of relapse</w:t>
                      </w:r>
                    </w:p>
                  </w:txbxContent>
                </v:textbox>
              </v:shape>
            </w:pict>
          </mc:Fallback>
        </mc:AlternateContent>
      </w:r>
      <w:r w:rsidRPr="00DB6D42">
        <w:rPr>
          <w:noProof/>
          <w:lang w:val="en-US" w:eastAsia="en-US"/>
        </w:rPr>
        <mc:AlternateContent>
          <mc:Choice Requires="wps">
            <w:drawing>
              <wp:anchor distT="0" distB="0" distL="114300" distR="114300" simplePos="0" relativeHeight="251675648" behindDoc="0" locked="0" layoutInCell="1" allowOverlap="1" wp14:anchorId="5400796D" wp14:editId="088D42A4">
                <wp:simplePos x="0" y="0"/>
                <wp:positionH relativeFrom="column">
                  <wp:posOffset>-634365</wp:posOffset>
                </wp:positionH>
                <wp:positionV relativeFrom="paragraph">
                  <wp:posOffset>-3503295</wp:posOffset>
                </wp:positionV>
                <wp:extent cx="263863" cy="184666"/>
                <wp:effectExtent l="0" t="0" r="3175" b="6350"/>
                <wp:wrapNone/>
                <wp:docPr id="495" name="TextBox 14"/>
                <wp:cNvGraphicFramePr/>
                <a:graphic xmlns:a="http://schemas.openxmlformats.org/drawingml/2006/main">
                  <a:graphicData uri="http://schemas.microsoft.com/office/word/2010/wordprocessingShape">
                    <wps:wsp>
                      <wps:cNvSpPr txBox="1"/>
                      <wps:spPr>
                        <a:xfrm>
                          <a:off x="0" y="0"/>
                          <a:ext cx="263863" cy="184666"/>
                        </a:xfrm>
                        <a:prstGeom prst="rect">
                          <a:avLst/>
                        </a:prstGeom>
                        <a:solidFill>
                          <a:schemeClr val="bg1"/>
                        </a:solidFill>
                      </wps:spPr>
                      <wps:txbx>
                        <w:txbxContent>
                          <w:p w14:paraId="38087894" w14:textId="77777777" w:rsidR="0030530C" w:rsidRDefault="0030530C" w:rsidP="0030530C">
                            <w:pPr>
                              <w:pStyle w:val="NormalWeb"/>
                              <w:spacing w:before="0" w:beforeAutospacing="0" w:after="0" w:afterAutospacing="0"/>
                              <w:jc w:val="right"/>
                              <w:rPr>
                                <w:sz w:val="24"/>
                                <w:szCs w:val="24"/>
                              </w:rPr>
                            </w:pPr>
                            <w:r>
                              <w:rPr>
                                <w:rFonts w:ascii="Arial" w:eastAsia="Arial" w:hAnsi="Arial" w:cs="Arial"/>
                                <w:color w:val="000000" w:themeColor="text1"/>
                                <w:kern w:val="24"/>
                              </w:rPr>
                              <w:t xml:space="preserve">1.0  </w:t>
                            </w:r>
                          </w:p>
                        </w:txbxContent>
                      </wps:txbx>
                      <wps:bodyPr wrap="square" lIns="0" tIns="0" rIns="0" bIns="0" rtlCol="0">
                        <a:spAutoFit/>
                      </wps:bodyPr>
                    </wps:wsp>
                  </a:graphicData>
                </a:graphic>
              </wp:anchor>
            </w:drawing>
          </mc:Choice>
          <mc:Fallback>
            <w:pict>
              <v:shape w14:anchorId="5400796D" id="TextBox 14" o:spid="_x0000_s1032" type="#_x0000_t202" style="position:absolute;left:0;text-align:left;margin-left:-49.95pt;margin-top:-275.85pt;width:20.8pt;height:14.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" fillcolor="white [3212]" stroked="f">
                <v:textbox style="mso-fit-shape-to-text:t" inset="0,0,0,0">
                  <w:txbxContent>
                    <w:p w14:paraId="38087894" w14:textId="77777777" w:rsidR="0030530C" w:rsidRDefault="0030530C" w:rsidP="0030530C">
                      <w:pPr>
                        <w:pStyle w:val="NormalWeb"/>
                        <w:spacing w:before="0" w:beforeAutospacing="0" w:after="0" w:afterAutospacing="0"/>
                        <w:jc w:val="right"/>
                        <w:rPr>
                          <w:sz w:val="24"/>
                          <w:szCs w:val="24"/>
                        </w:rPr>
                      </w:pPr>
                      <w:r>
                        <w:rPr>
                          <w:rFonts w:ascii="Arial" w:eastAsia="Arial" w:hAnsi="Arial" w:cs="Arial"/>
                          <w:color w:val="000000" w:themeColor="text1"/>
                          <w:kern w:val="24"/>
                        </w:rPr>
                        <w:t xml:space="preserve">1.0  </w:t>
                      </w:r>
                    </w:p>
                  </w:txbxContent>
                </v:textbox>
              </v:shape>
            </w:pict>
          </mc:Fallback>
        </mc:AlternateContent>
      </w:r>
    </w:p>
    <w:p w14:paraId="2E159D90" w14:textId="471C40F7" w:rsidR="004D53AF" w:rsidRPr="00DB6D42" w:rsidRDefault="008F7B22" w:rsidP="00BB5FF5">
      <w:pPr>
        <w:spacing w:before="80" w:after="80"/>
        <w:jc w:val="center"/>
        <w:rPr>
          <w:noProof/>
          <w:lang w:val="en-US" w:eastAsia="en-US"/>
        </w:rPr>
      </w:pPr>
      <w:r w:rsidRPr="00DB6D42">
        <w:rPr>
          <w:noProof/>
          <w:lang w:val="en-US" w:eastAsia="en-US"/>
        </w:rPr>
        <w:drawing>
          <wp:inline distT="0" distB="0" distL="0" distR="0" wp14:anchorId="1CDAF3EA" wp14:editId="16CC1D52">
            <wp:extent cx="5207126" cy="5128739"/>
            <wp:effectExtent l="0" t="0" r="0" b="0"/>
            <wp:docPr id="5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1"/>
                    <a:stretch>
                      <a:fillRect/>
                    </a:stretch>
                  </pic:blipFill>
                  <pic:spPr>
                    <a:xfrm>
                      <a:off x="0" y="0"/>
                      <a:ext cx="5207126" cy="5128739"/>
                    </a:xfrm>
                    <a:prstGeom prst="rect">
                      <a:avLst/>
                    </a:prstGeom>
                  </pic:spPr>
                </pic:pic>
              </a:graphicData>
            </a:graphic>
          </wp:inline>
        </w:drawing>
      </w:r>
      <w:r w:rsidR="002114B2" w:rsidRPr="00DB6D42" w:rsidDel="002114B2">
        <w:rPr>
          <w:noProof/>
          <w:lang w:val="en-US" w:eastAsia="en-US"/>
        </w:rPr>
        <w:t xml:space="preserve"> </w:t>
      </w:r>
    </w:p>
    <w:p w14:paraId="7CF41021" w14:textId="77777777" w:rsidR="004D53AF" w:rsidRPr="00DB6D42" w:rsidRDefault="004D53AF" w:rsidP="00BB5FF5">
      <w:pPr>
        <w:spacing w:before="80" w:after="80"/>
        <w:jc w:val="center"/>
        <w:rPr>
          <w:noProof/>
          <w:lang w:val="en-US" w:eastAsia="en-US"/>
        </w:rPr>
      </w:pPr>
    </w:p>
    <w:p w14:paraId="4D0A3204" w14:textId="707020DE" w:rsidR="00785AC9" w:rsidRPr="00DB6D42" w:rsidRDefault="00E37EAB" w:rsidP="00DB6D42">
      <w:pPr>
        <w:spacing w:before="80" w:after="80"/>
        <w:jc w:val="both"/>
        <w:rPr>
          <w:lang w:val="en-US"/>
        </w:rPr>
      </w:pPr>
      <w:r w:rsidRPr="00DB6D42">
        <w:rPr>
          <w:lang w:val="en-US"/>
        </w:rPr>
        <w:t xml:space="preserve">Figure 3. </w:t>
      </w:r>
      <w:r w:rsidR="00785AC9" w:rsidRPr="00DB6D42">
        <w:rPr>
          <w:b/>
          <w:bCs/>
          <w:lang w:val="en-US"/>
        </w:rPr>
        <w:t>AT CL-ELISA titers at 0, and 12 months of follow-up in placebo- and BZN-treated patients.</w:t>
      </w:r>
      <w:r w:rsidR="00785AC9" w:rsidRPr="00DB6D42">
        <w:rPr>
          <w:lang w:val="en-US"/>
        </w:rPr>
        <w:t xml:space="preserve"> </w:t>
      </w:r>
      <w:r w:rsidR="008F7B22" w:rsidRPr="00DB6D42">
        <w:t xml:space="preserve">Positive results (red circles): </w:t>
      </w:r>
      <w:proofErr w:type="spellStart"/>
      <w:r w:rsidR="008F7B22" w:rsidRPr="00DB6D42">
        <w:t>titer</w:t>
      </w:r>
      <w:proofErr w:type="spellEnd"/>
      <w:r w:rsidR="008F7B22" w:rsidRPr="00DB6D42">
        <w:t xml:space="preserve"> ≥1·0; negative results (green circles): </w:t>
      </w:r>
      <w:proofErr w:type="spellStart"/>
      <w:r w:rsidR="008F7B22" w:rsidRPr="00DB6D42">
        <w:t>titer</w:t>
      </w:r>
      <w:proofErr w:type="spellEnd"/>
      <w:r w:rsidR="008F7B22" w:rsidRPr="00DB6D42">
        <w:t xml:space="preserve"> &lt;0·9; inconclusive results (yellow circles): </w:t>
      </w:r>
      <w:proofErr w:type="spellStart"/>
      <w:r w:rsidR="008F7B22" w:rsidRPr="00DB6D42">
        <w:t>titer</w:t>
      </w:r>
      <w:proofErr w:type="spellEnd"/>
      <w:r w:rsidR="008F7B22" w:rsidRPr="00DB6D42">
        <w:t xml:space="preserve"> &lt;1·0, </w:t>
      </w:r>
      <w:r w:rsidR="008F7B22" w:rsidRPr="00DB6D42">
        <w:sym w:font="Symbol" w:char="F0B3"/>
      </w:r>
      <w:r w:rsidR="008F7B22" w:rsidRPr="00DB6D42">
        <w:t xml:space="preserve">0·9. Placebo group: 43 positive (93·5%), 2 negative (4·3%), and 1 inconclusive (2·2%); BZN group: 37 (84.1%), 5 negative (11.4%), and 2 inconclusive (4.5%). Red horizontal line, </w:t>
      </w:r>
      <w:proofErr w:type="spellStart"/>
      <w:r w:rsidR="008F7B22" w:rsidRPr="00DB6D42">
        <w:t>titer</w:t>
      </w:r>
      <w:proofErr w:type="spellEnd"/>
      <w:r w:rsidR="008F7B22" w:rsidRPr="00DB6D42">
        <w:t xml:space="preserve">=1·0; green horizontal line, </w:t>
      </w:r>
      <w:proofErr w:type="spellStart"/>
      <w:r w:rsidR="008F7B22" w:rsidRPr="00DB6D42">
        <w:t>titer</w:t>
      </w:r>
      <w:proofErr w:type="spellEnd"/>
      <w:r w:rsidR="008F7B22" w:rsidRPr="00DB6D42">
        <w:t xml:space="preserve">=0·9. Black circles: serum samples from the same patient with negative AT CL-ELISA results at months 0 and 12. Only patients with serum samples at 0 and 12 months were considered for this analysis. The geometric mean (long black horizontal line) with 95% C.I. (short black horizontal lines) are indicated for each group. AT CL-ELISA </w:t>
      </w:r>
      <w:proofErr w:type="spellStart"/>
      <w:r w:rsidR="008F7B22" w:rsidRPr="00DB6D42">
        <w:t>titers</w:t>
      </w:r>
      <w:proofErr w:type="spellEnd"/>
      <w:r w:rsidR="008F7B22" w:rsidRPr="00DB6D42">
        <w:t xml:space="preserve"> were calculated as described. </w:t>
      </w:r>
      <w:r w:rsidR="00644598" w:rsidRPr="00DB6D42">
        <w:t>[</w:t>
      </w:r>
      <w:r w:rsidR="008F7B22" w:rsidRPr="00DB6D42">
        <w:t>16</w:t>
      </w:r>
      <w:r w:rsidR="00644598" w:rsidRPr="00DB6D42">
        <w:t>]</w:t>
      </w:r>
    </w:p>
    <w:p w14:paraId="1B2DAF47" w14:textId="3BDBD477" w:rsidR="002E6DBB" w:rsidRPr="00DB6D42" w:rsidRDefault="002E6DBB" w:rsidP="00BB5FF5">
      <w:pPr>
        <w:spacing w:before="80" w:after="80"/>
        <w:jc w:val="both"/>
      </w:pPr>
    </w:p>
    <w:p w14:paraId="42A9F8E1" w14:textId="77777777" w:rsidR="0059299B" w:rsidRPr="00DB6D42" w:rsidRDefault="0059299B" w:rsidP="00BB5FF5">
      <w:pPr>
        <w:spacing w:before="80" w:after="80"/>
        <w:jc w:val="both"/>
        <w:rPr>
          <w:b/>
          <w:lang w:val="en-US"/>
        </w:rPr>
      </w:pPr>
    </w:p>
    <w:p w14:paraId="0DBDB186" w14:textId="77777777" w:rsidR="0059299B" w:rsidRPr="00DB6D42" w:rsidRDefault="0059299B" w:rsidP="00BB5FF5">
      <w:pPr>
        <w:spacing w:before="80" w:after="80"/>
        <w:jc w:val="both"/>
        <w:rPr>
          <w:b/>
          <w:lang w:val="en-US"/>
        </w:rPr>
      </w:pPr>
    </w:p>
    <w:p w14:paraId="415016BB" w14:textId="77777777" w:rsidR="0059299B" w:rsidRPr="00DB6D42" w:rsidRDefault="0059299B" w:rsidP="00BB5FF5">
      <w:pPr>
        <w:spacing w:before="80" w:after="80"/>
        <w:jc w:val="both"/>
        <w:rPr>
          <w:b/>
          <w:lang w:val="en-US"/>
        </w:rPr>
      </w:pPr>
    </w:p>
    <w:p w14:paraId="3884CE7D" w14:textId="77777777" w:rsidR="009D0215" w:rsidRPr="00DB6D42" w:rsidRDefault="009D0215" w:rsidP="00BB5FF5">
      <w:pPr>
        <w:spacing w:before="80" w:after="80"/>
        <w:jc w:val="both"/>
        <w:rPr>
          <w:b/>
          <w:lang w:val="en-US"/>
        </w:rPr>
      </w:pPr>
    </w:p>
    <w:p w14:paraId="59F260FC" w14:textId="77777777" w:rsidR="009D0215" w:rsidRPr="00DB6D42" w:rsidRDefault="009D0215" w:rsidP="00BB5FF5">
      <w:pPr>
        <w:spacing w:before="80" w:after="80"/>
        <w:jc w:val="both"/>
        <w:rPr>
          <w:b/>
          <w:lang w:val="en-US"/>
        </w:rPr>
        <w:sectPr w:rsidR="009D0215" w:rsidRPr="00DB6D42" w:rsidSect="00DD6FAC">
          <w:headerReference w:type="default" r:id="rId22"/>
          <w:footerReference w:type="default" r:id="rId23"/>
          <w:pgSz w:w="11901" w:h="16840"/>
          <w:pgMar w:top="1440" w:right="1797" w:bottom="1440" w:left="1797" w:header="720" w:footer="720" w:gutter="0"/>
          <w:cols w:space="720"/>
          <w:noEndnote/>
        </w:sectPr>
      </w:pPr>
    </w:p>
    <w:p w14:paraId="427F79A4" w14:textId="77777777" w:rsidR="00B32B9F" w:rsidRPr="00DB6D42" w:rsidRDefault="00B32B9F" w:rsidP="00BB5FF5">
      <w:pPr>
        <w:spacing w:before="80" w:after="80"/>
        <w:jc w:val="both"/>
        <w:rPr>
          <w:lang w:val="en-US"/>
        </w:rPr>
      </w:pPr>
      <w:r w:rsidRPr="00DB6D42">
        <w:rPr>
          <w:lang w:val="en-US"/>
        </w:rPr>
        <w:lastRenderedPageBreak/>
        <w:t>Table 1. Baseline characteristics</w:t>
      </w:r>
    </w:p>
    <w:tbl>
      <w:tblPr>
        <w:tblW w:w="5004" w:type="pct"/>
        <w:jc w:val="center"/>
        <w:tblLayout w:type="fixed"/>
        <w:tblCellMar>
          <w:left w:w="0" w:type="dxa"/>
          <w:right w:w="0" w:type="dxa"/>
        </w:tblCellMar>
        <w:tblLook w:val="0000" w:firstRow="0" w:lastRow="0" w:firstColumn="0" w:lastColumn="0" w:noHBand="0" w:noVBand="0"/>
      </w:tblPr>
      <w:tblGrid>
        <w:gridCol w:w="4266"/>
        <w:gridCol w:w="1617"/>
        <w:gridCol w:w="1618"/>
        <w:gridCol w:w="1617"/>
        <w:gridCol w:w="1618"/>
        <w:gridCol w:w="1617"/>
        <w:gridCol w:w="1618"/>
      </w:tblGrid>
      <w:tr w:rsidR="00B32B9F" w:rsidRPr="00DB6D42" w14:paraId="244A45CC" w14:textId="77777777" w:rsidTr="009B032C">
        <w:trPr>
          <w:cantSplit/>
          <w:jc w:val="center"/>
        </w:trPr>
        <w:tc>
          <w:tcPr>
            <w:tcW w:w="4266" w:type="dxa"/>
            <w:tcBorders>
              <w:top w:val="single" w:sz="4" w:space="0" w:color="auto"/>
              <w:bottom w:val="single" w:sz="4" w:space="0" w:color="auto"/>
            </w:tcBorders>
            <w:shd w:val="clear" w:color="auto" w:fill="FFFFFF"/>
            <w:vAlign w:val="center"/>
          </w:tcPr>
          <w:p w14:paraId="2F6A571B" w14:textId="77777777" w:rsidR="00B32B9F" w:rsidRPr="00DB6D42" w:rsidRDefault="00B32B9F" w:rsidP="00BB5FF5">
            <w:pPr>
              <w:keepNext/>
              <w:adjustRightInd w:val="0"/>
              <w:spacing w:beforeLines="60" w:before="144" w:afterLines="60" w:after="144"/>
              <w:rPr>
                <w:rFonts w:cs="Arial"/>
                <w:color w:val="000000"/>
                <w:sz w:val="18"/>
                <w:szCs w:val="18"/>
                <w:lang w:val="en-US"/>
              </w:rPr>
            </w:pPr>
            <w:r w:rsidRPr="00DB6D42">
              <w:rPr>
                <w:rFonts w:cs="Arial"/>
                <w:color w:val="000000"/>
                <w:sz w:val="18"/>
                <w:szCs w:val="18"/>
                <w:lang w:val="en-US"/>
              </w:rPr>
              <w:t>Description</w:t>
            </w:r>
          </w:p>
        </w:tc>
        <w:tc>
          <w:tcPr>
            <w:tcW w:w="1617" w:type="dxa"/>
            <w:tcBorders>
              <w:top w:val="single" w:sz="4" w:space="0" w:color="auto"/>
              <w:bottom w:val="single" w:sz="4" w:space="0" w:color="auto"/>
            </w:tcBorders>
            <w:shd w:val="clear" w:color="auto" w:fill="FFFFFF"/>
            <w:vAlign w:val="center"/>
          </w:tcPr>
          <w:p w14:paraId="1D9C6813" w14:textId="77777777" w:rsidR="00B32B9F" w:rsidRPr="00DB6D42" w:rsidRDefault="00B32B9F" w:rsidP="00BB5FF5">
            <w:pPr>
              <w:keepNext/>
              <w:adjustRightInd w:val="0"/>
              <w:spacing w:beforeLines="60" w:before="144" w:afterLines="60" w:after="144"/>
              <w:jc w:val="center"/>
              <w:rPr>
                <w:rFonts w:cs="Arial"/>
                <w:color w:val="000000"/>
                <w:sz w:val="18"/>
                <w:szCs w:val="18"/>
                <w:lang w:val="en-US"/>
              </w:rPr>
            </w:pPr>
            <w:r w:rsidRPr="00DB6D42">
              <w:rPr>
                <w:rFonts w:cs="Arial"/>
                <w:color w:val="000000"/>
                <w:sz w:val="18"/>
                <w:szCs w:val="18"/>
                <w:lang w:val="en-US"/>
              </w:rPr>
              <w:t>Placebo</w:t>
            </w:r>
            <w:r w:rsidRPr="00DB6D42">
              <w:rPr>
                <w:rFonts w:cs="Arial"/>
                <w:color w:val="000000"/>
                <w:sz w:val="18"/>
                <w:szCs w:val="18"/>
                <w:lang w:val="en-US"/>
              </w:rPr>
              <w:br/>
              <w:t>(n=47)</w:t>
            </w:r>
          </w:p>
        </w:tc>
        <w:tc>
          <w:tcPr>
            <w:tcW w:w="1618" w:type="dxa"/>
            <w:tcBorders>
              <w:top w:val="single" w:sz="4" w:space="0" w:color="auto"/>
              <w:bottom w:val="single" w:sz="4" w:space="0" w:color="auto"/>
            </w:tcBorders>
            <w:shd w:val="clear" w:color="auto" w:fill="FFFFFF"/>
            <w:vAlign w:val="center"/>
          </w:tcPr>
          <w:p w14:paraId="14515C66" w14:textId="77777777" w:rsidR="00B32B9F" w:rsidRPr="00DB6D42" w:rsidRDefault="00B32B9F" w:rsidP="00BB5FF5">
            <w:pPr>
              <w:keepNext/>
              <w:adjustRightInd w:val="0"/>
              <w:spacing w:beforeLines="60" w:before="144" w:afterLines="60" w:after="144"/>
              <w:jc w:val="center"/>
              <w:rPr>
                <w:rFonts w:cs="Arial"/>
                <w:color w:val="000000"/>
                <w:sz w:val="18"/>
                <w:szCs w:val="18"/>
                <w:lang w:val="en-US"/>
              </w:rPr>
            </w:pPr>
            <w:r w:rsidRPr="00DB6D42">
              <w:rPr>
                <w:rFonts w:cs="Arial"/>
                <w:color w:val="000000"/>
                <w:sz w:val="18"/>
                <w:szCs w:val="18"/>
                <w:lang w:val="en-US"/>
              </w:rPr>
              <w:t>LD</w:t>
            </w:r>
            <w:r w:rsidRPr="00DB6D42">
              <w:rPr>
                <w:rFonts w:cs="Arial"/>
                <w:color w:val="000000"/>
                <w:sz w:val="18"/>
                <w:szCs w:val="18"/>
                <w:lang w:val="en-US"/>
              </w:rPr>
              <w:br/>
              <w:t>(n=48)</w:t>
            </w:r>
          </w:p>
        </w:tc>
        <w:tc>
          <w:tcPr>
            <w:tcW w:w="1617" w:type="dxa"/>
            <w:tcBorders>
              <w:top w:val="single" w:sz="4" w:space="0" w:color="auto"/>
              <w:bottom w:val="single" w:sz="4" w:space="0" w:color="auto"/>
            </w:tcBorders>
            <w:shd w:val="clear" w:color="auto" w:fill="FFFFFF"/>
            <w:vAlign w:val="center"/>
          </w:tcPr>
          <w:p w14:paraId="10527113" w14:textId="77777777" w:rsidR="00B32B9F" w:rsidRPr="00DB6D42" w:rsidRDefault="00B32B9F" w:rsidP="00BB5FF5">
            <w:pPr>
              <w:keepNext/>
              <w:adjustRightInd w:val="0"/>
              <w:spacing w:beforeLines="60" w:before="144" w:afterLines="60" w:after="144"/>
              <w:jc w:val="center"/>
              <w:rPr>
                <w:rFonts w:cs="Arial"/>
                <w:color w:val="000000"/>
                <w:sz w:val="18"/>
                <w:szCs w:val="18"/>
                <w:lang w:val="en-US"/>
              </w:rPr>
            </w:pPr>
            <w:r w:rsidRPr="00DB6D42">
              <w:rPr>
                <w:rFonts w:cs="Arial"/>
                <w:color w:val="000000"/>
                <w:sz w:val="18"/>
                <w:szCs w:val="18"/>
                <w:lang w:val="en-US"/>
              </w:rPr>
              <w:t>SD</w:t>
            </w:r>
            <w:r w:rsidRPr="00DB6D42">
              <w:rPr>
                <w:rFonts w:cs="Arial"/>
                <w:color w:val="000000"/>
                <w:sz w:val="18"/>
                <w:szCs w:val="18"/>
                <w:lang w:val="en-US"/>
              </w:rPr>
              <w:br/>
              <w:t>(n=46)</w:t>
            </w:r>
          </w:p>
        </w:tc>
        <w:tc>
          <w:tcPr>
            <w:tcW w:w="1618" w:type="dxa"/>
            <w:tcBorders>
              <w:top w:val="single" w:sz="4" w:space="0" w:color="auto"/>
              <w:bottom w:val="single" w:sz="4" w:space="0" w:color="auto"/>
            </w:tcBorders>
            <w:shd w:val="clear" w:color="auto" w:fill="FFFFFF"/>
            <w:vAlign w:val="center"/>
          </w:tcPr>
          <w:p w14:paraId="45C8AC56" w14:textId="77777777" w:rsidR="00B32B9F" w:rsidRPr="00DB6D42" w:rsidRDefault="00B32B9F" w:rsidP="00BB5FF5">
            <w:pPr>
              <w:keepNext/>
              <w:adjustRightInd w:val="0"/>
              <w:spacing w:beforeLines="60" w:before="144" w:afterLines="60" w:after="144"/>
              <w:jc w:val="center"/>
              <w:rPr>
                <w:rFonts w:cs="Arial"/>
                <w:color w:val="000000"/>
                <w:sz w:val="18"/>
                <w:szCs w:val="18"/>
                <w:lang w:val="en-US"/>
              </w:rPr>
            </w:pPr>
            <w:r w:rsidRPr="00DB6D42">
              <w:rPr>
                <w:rFonts w:cs="Arial"/>
                <w:color w:val="000000"/>
                <w:sz w:val="18"/>
                <w:szCs w:val="18"/>
                <w:lang w:val="en-US"/>
              </w:rPr>
              <w:t>HD</w:t>
            </w:r>
            <w:r w:rsidRPr="00DB6D42">
              <w:rPr>
                <w:rFonts w:cs="Arial"/>
                <w:color w:val="000000"/>
                <w:sz w:val="18"/>
                <w:szCs w:val="18"/>
                <w:lang w:val="en-US"/>
              </w:rPr>
              <w:br/>
              <w:t>(n=45)</w:t>
            </w:r>
          </w:p>
        </w:tc>
        <w:tc>
          <w:tcPr>
            <w:tcW w:w="1617" w:type="dxa"/>
            <w:tcBorders>
              <w:top w:val="single" w:sz="4" w:space="0" w:color="auto"/>
              <w:bottom w:val="single" w:sz="4" w:space="0" w:color="auto"/>
            </w:tcBorders>
            <w:shd w:val="clear" w:color="auto" w:fill="FFFFFF"/>
            <w:vAlign w:val="center"/>
          </w:tcPr>
          <w:p w14:paraId="3E882F31" w14:textId="77777777" w:rsidR="00B32B9F" w:rsidRPr="00DB6D42" w:rsidRDefault="00B32B9F" w:rsidP="00BB5FF5">
            <w:pPr>
              <w:keepNext/>
              <w:adjustRightInd w:val="0"/>
              <w:spacing w:beforeLines="60" w:before="144" w:afterLines="60" w:after="144"/>
              <w:jc w:val="center"/>
              <w:rPr>
                <w:rFonts w:cs="Arial"/>
                <w:color w:val="000000"/>
                <w:sz w:val="18"/>
                <w:szCs w:val="18"/>
                <w:lang w:val="en-US"/>
              </w:rPr>
            </w:pPr>
            <w:r w:rsidRPr="00DB6D42">
              <w:rPr>
                <w:rFonts w:cs="Arial"/>
                <w:color w:val="000000"/>
                <w:sz w:val="18"/>
                <w:szCs w:val="18"/>
                <w:lang w:val="en-US"/>
              </w:rPr>
              <w:t>BZN</w:t>
            </w:r>
            <w:r w:rsidRPr="00DB6D42">
              <w:rPr>
                <w:rFonts w:cs="Arial"/>
                <w:color w:val="000000"/>
                <w:sz w:val="18"/>
                <w:szCs w:val="18"/>
                <w:lang w:val="en-US"/>
              </w:rPr>
              <w:br/>
              <w:t>(n=45)</w:t>
            </w:r>
          </w:p>
        </w:tc>
        <w:tc>
          <w:tcPr>
            <w:tcW w:w="1618" w:type="dxa"/>
            <w:tcBorders>
              <w:top w:val="single" w:sz="4" w:space="0" w:color="auto"/>
              <w:bottom w:val="single" w:sz="4" w:space="0" w:color="auto"/>
            </w:tcBorders>
            <w:shd w:val="clear" w:color="auto" w:fill="FFFFFF"/>
            <w:vAlign w:val="center"/>
          </w:tcPr>
          <w:p w14:paraId="09873D60" w14:textId="77777777" w:rsidR="00B32B9F" w:rsidRPr="00DB6D42" w:rsidRDefault="00B32B9F" w:rsidP="00BB5FF5">
            <w:pPr>
              <w:keepNext/>
              <w:adjustRightInd w:val="0"/>
              <w:spacing w:beforeLines="60" w:before="144" w:afterLines="60" w:after="144"/>
              <w:jc w:val="center"/>
              <w:rPr>
                <w:rFonts w:cs="Arial"/>
                <w:color w:val="000000"/>
                <w:sz w:val="18"/>
                <w:szCs w:val="18"/>
                <w:lang w:val="en-US"/>
              </w:rPr>
            </w:pPr>
            <w:r w:rsidRPr="00DB6D42">
              <w:rPr>
                <w:rFonts w:cs="Arial"/>
                <w:color w:val="000000"/>
                <w:sz w:val="18"/>
                <w:szCs w:val="18"/>
                <w:lang w:val="en-US"/>
              </w:rPr>
              <w:t>Total</w:t>
            </w:r>
            <w:r w:rsidRPr="00DB6D42">
              <w:rPr>
                <w:rFonts w:cs="Arial"/>
                <w:color w:val="000000"/>
                <w:sz w:val="18"/>
                <w:szCs w:val="18"/>
                <w:lang w:val="en-US"/>
              </w:rPr>
              <w:br/>
              <w:t>(n=231)</w:t>
            </w:r>
          </w:p>
        </w:tc>
      </w:tr>
      <w:tr w:rsidR="00B32B9F" w:rsidRPr="00DB6D42" w14:paraId="01AFBEA5" w14:textId="77777777" w:rsidTr="009B032C">
        <w:trPr>
          <w:cantSplit/>
          <w:jc w:val="center"/>
        </w:trPr>
        <w:tc>
          <w:tcPr>
            <w:tcW w:w="4266" w:type="dxa"/>
            <w:tcBorders>
              <w:top w:val="single" w:sz="4" w:space="0" w:color="auto"/>
            </w:tcBorders>
            <w:shd w:val="clear" w:color="auto" w:fill="FFFFFF"/>
            <w:vAlign w:val="center"/>
          </w:tcPr>
          <w:p w14:paraId="5064663F" w14:textId="77777777" w:rsidR="00B32B9F" w:rsidRPr="00DB6D42" w:rsidRDefault="00B32B9F" w:rsidP="00BB5FF5">
            <w:pPr>
              <w:keepNext/>
              <w:adjustRightInd w:val="0"/>
              <w:spacing w:after="0"/>
              <w:rPr>
                <w:rFonts w:cs="Arial"/>
                <w:color w:val="000000"/>
                <w:sz w:val="18"/>
                <w:szCs w:val="18"/>
                <w:lang w:val="en-US"/>
              </w:rPr>
            </w:pPr>
          </w:p>
        </w:tc>
        <w:tc>
          <w:tcPr>
            <w:tcW w:w="1617" w:type="dxa"/>
            <w:tcBorders>
              <w:top w:val="single" w:sz="4" w:space="0" w:color="auto"/>
            </w:tcBorders>
            <w:shd w:val="clear" w:color="auto" w:fill="FFFFFF"/>
            <w:vAlign w:val="center"/>
          </w:tcPr>
          <w:p w14:paraId="36B34F23"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tcBorders>
              <w:top w:val="single" w:sz="4" w:space="0" w:color="auto"/>
            </w:tcBorders>
            <w:shd w:val="clear" w:color="auto" w:fill="FFFFFF"/>
            <w:vAlign w:val="center"/>
          </w:tcPr>
          <w:p w14:paraId="17EFB9CC" w14:textId="77777777" w:rsidR="00B32B9F" w:rsidRPr="00DB6D42" w:rsidRDefault="00B32B9F" w:rsidP="00BB5FF5">
            <w:pPr>
              <w:keepNext/>
              <w:adjustRightInd w:val="0"/>
              <w:spacing w:after="0"/>
              <w:jc w:val="center"/>
              <w:rPr>
                <w:rFonts w:cs="Arial"/>
                <w:color w:val="000000"/>
                <w:sz w:val="18"/>
                <w:szCs w:val="18"/>
                <w:lang w:val="en-US"/>
              </w:rPr>
            </w:pPr>
          </w:p>
        </w:tc>
        <w:tc>
          <w:tcPr>
            <w:tcW w:w="1617" w:type="dxa"/>
            <w:tcBorders>
              <w:top w:val="single" w:sz="4" w:space="0" w:color="auto"/>
            </w:tcBorders>
            <w:shd w:val="clear" w:color="auto" w:fill="FFFFFF"/>
            <w:vAlign w:val="center"/>
          </w:tcPr>
          <w:p w14:paraId="62B796E8"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tcBorders>
              <w:top w:val="single" w:sz="4" w:space="0" w:color="auto"/>
            </w:tcBorders>
            <w:shd w:val="clear" w:color="auto" w:fill="FFFFFF"/>
            <w:vAlign w:val="center"/>
          </w:tcPr>
          <w:p w14:paraId="38252D48" w14:textId="77777777" w:rsidR="00B32B9F" w:rsidRPr="00DB6D42" w:rsidRDefault="00B32B9F" w:rsidP="00BB5FF5">
            <w:pPr>
              <w:keepNext/>
              <w:adjustRightInd w:val="0"/>
              <w:spacing w:after="0"/>
              <w:jc w:val="center"/>
              <w:rPr>
                <w:rFonts w:cs="Arial"/>
                <w:color w:val="000000"/>
                <w:sz w:val="18"/>
                <w:szCs w:val="18"/>
                <w:lang w:val="en-US"/>
              </w:rPr>
            </w:pPr>
          </w:p>
        </w:tc>
        <w:tc>
          <w:tcPr>
            <w:tcW w:w="1617" w:type="dxa"/>
            <w:tcBorders>
              <w:top w:val="single" w:sz="4" w:space="0" w:color="auto"/>
            </w:tcBorders>
            <w:shd w:val="clear" w:color="auto" w:fill="FFFFFF"/>
            <w:vAlign w:val="center"/>
          </w:tcPr>
          <w:p w14:paraId="0546E552"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tcBorders>
              <w:top w:val="single" w:sz="4" w:space="0" w:color="auto"/>
            </w:tcBorders>
            <w:shd w:val="clear" w:color="auto" w:fill="FFFFFF"/>
            <w:vAlign w:val="center"/>
          </w:tcPr>
          <w:p w14:paraId="0BD83D2E" w14:textId="77777777" w:rsidR="00B32B9F" w:rsidRPr="00DB6D42" w:rsidRDefault="00B32B9F" w:rsidP="00BB5FF5">
            <w:pPr>
              <w:keepNext/>
              <w:adjustRightInd w:val="0"/>
              <w:spacing w:after="0"/>
              <w:jc w:val="center"/>
              <w:rPr>
                <w:rFonts w:cs="Arial"/>
                <w:color w:val="000000"/>
                <w:sz w:val="18"/>
                <w:szCs w:val="18"/>
                <w:lang w:val="en-US"/>
              </w:rPr>
            </w:pPr>
          </w:p>
        </w:tc>
      </w:tr>
      <w:tr w:rsidR="00B32B9F" w:rsidRPr="00DB6D42" w14:paraId="588F7AC3" w14:textId="77777777" w:rsidTr="009B032C">
        <w:trPr>
          <w:cantSplit/>
          <w:trHeight w:val="90"/>
          <w:tblHeader/>
          <w:jc w:val="center"/>
        </w:trPr>
        <w:tc>
          <w:tcPr>
            <w:tcW w:w="4266" w:type="dxa"/>
            <w:shd w:val="clear" w:color="auto" w:fill="FFFFFF"/>
            <w:vAlign w:val="center"/>
          </w:tcPr>
          <w:p w14:paraId="4E316482" w14:textId="77777777" w:rsidR="00B32B9F" w:rsidRPr="00DB6D42" w:rsidRDefault="00B32B9F" w:rsidP="00BB5FF5">
            <w:pPr>
              <w:keepNext/>
              <w:adjustRightInd w:val="0"/>
              <w:spacing w:after="0"/>
              <w:rPr>
                <w:rFonts w:cs="Arial"/>
                <w:color w:val="000000"/>
                <w:sz w:val="18"/>
                <w:szCs w:val="18"/>
                <w:lang w:val="en-US"/>
              </w:rPr>
            </w:pPr>
            <w:r w:rsidRPr="00DB6D42">
              <w:rPr>
                <w:rFonts w:cs="Arial"/>
                <w:color w:val="000000"/>
                <w:sz w:val="18"/>
                <w:szCs w:val="18"/>
                <w:lang w:val="en-US"/>
              </w:rPr>
              <w:t>Mean age at screening, years (SD)</w:t>
            </w:r>
          </w:p>
        </w:tc>
        <w:tc>
          <w:tcPr>
            <w:tcW w:w="1617" w:type="dxa"/>
            <w:shd w:val="clear" w:color="auto" w:fill="FFFFFF"/>
          </w:tcPr>
          <w:p w14:paraId="57E99B48" w14:textId="77777777" w:rsidR="00B32B9F" w:rsidRPr="00DB6D42" w:rsidRDefault="00A478A0"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31</w:t>
            </w:r>
            <w:r w:rsidR="00BF2C53" w:rsidRPr="00DB6D42">
              <w:rPr>
                <w:rFonts w:cs="Arial"/>
                <w:color w:val="000000"/>
                <w:sz w:val="18"/>
                <w:szCs w:val="18"/>
                <w:lang w:val="en-US"/>
              </w:rPr>
              <w:t>·</w:t>
            </w:r>
            <w:r w:rsidRPr="00DB6D42">
              <w:rPr>
                <w:rFonts w:cs="Arial"/>
                <w:color w:val="000000"/>
                <w:sz w:val="18"/>
                <w:szCs w:val="18"/>
                <w:lang w:val="en-US"/>
              </w:rPr>
              <w:t>0 (9</w:t>
            </w:r>
            <w:r w:rsidR="00BF2C53" w:rsidRPr="00DB6D42">
              <w:rPr>
                <w:rFonts w:cs="Arial"/>
                <w:color w:val="000000"/>
                <w:sz w:val="18"/>
                <w:szCs w:val="18"/>
                <w:lang w:val="en-US"/>
              </w:rPr>
              <w:t>·</w:t>
            </w:r>
            <w:r w:rsidRPr="00DB6D42">
              <w:rPr>
                <w:rFonts w:cs="Arial"/>
                <w:color w:val="000000"/>
                <w:sz w:val="18"/>
                <w:szCs w:val="18"/>
                <w:lang w:val="en-US"/>
              </w:rPr>
              <w:t>1</w:t>
            </w:r>
            <w:r w:rsidR="00B32B9F" w:rsidRPr="00DB6D42">
              <w:rPr>
                <w:rFonts w:cs="Arial"/>
                <w:color w:val="000000"/>
                <w:sz w:val="18"/>
                <w:szCs w:val="18"/>
                <w:lang w:val="en-US"/>
              </w:rPr>
              <w:t>)</w:t>
            </w:r>
          </w:p>
        </w:tc>
        <w:tc>
          <w:tcPr>
            <w:tcW w:w="1618" w:type="dxa"/>
            <w:shd w:val="clear" w:color="auto" w:fill="FFFFFF"/>
          </w:tcPr>
          <w:p w14:paraId="37F6F1A6" w14:textId="77777777" w:rsidR="00B32B9F" w:rsidRPr="00DB6D42" w:rsidRDefault="00A478A0"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31</w:t>
            </w:r>
            <w:r w:rsidR="00BF2C53" w:rsidRPr="00DB6D42">
              <w:rPr>
                <w:rFonts w:cs="Arial"/>
                <w:color w:val="000000"/>
                <w:sz w:val="18"/>
                <w:szCs w:val="18"/>
                <w:lang w:val="en-US"/>
              </w:rPr>
              <w:t>·</w:t>
            </w:r>
            <w:r w:rsidRPr="00DB6D42">
              <w:rPr>
                <w:rFonts w:cs="Arial"/>
                <w:color w:val="000000"/>
                <w:sz w:val="18"/>
                <w:szCs w:val="18"/>
                <w:lang w:val="en-US"/>
              </w:rPr>
              <w:t>3 (8</w:t>
            </w:r>
            <w:r w:rsidR="00BF2C53" w:rsidRPr="00DB6D42">
              <w:rPr>
                <w:rFonts w:cs="Arial"/>
                <w:color w:val="000000"/>
                <w:sz w:val="18"/>
                <w:szCs w:val="18"/>
                <w:lang w:val="en-US"/>
              </w:rPr>
              <w:t>·</w:t>
            </w:r>
            <w:r w:rsidRPr="00DB6D42">
              <w:rPr>
                <w:rFonts w:cs="Arial"/>
                <w:color w:val="000000"/>
                <w:sz w:val="18"/>
                <w:szCs w:val="18"/>
                <w:lang w:val="en-US"/>
              </w:rPr>
              <w:t>7</w:t>
            </w:r>
            <w:r w:rsidR="00B32B9F" w:rsidRPr="00DB6D42">
              <w:rPr>
                <w:rFonts w:cs="Arial"/>
                <w:color w:val="000000"/>
                <w:sz w:val="18"/>
                <w:szCs w:val="18"/>
                <w:lang w:val="en-US"/>
              </w:rPr>
              <w:t>)</w:t>
            </w:r>
          </w:p>
        </w:tc>
        <w:tc>
          <w:tcPr>
            <w:tcW w:w="1617" w:type="dxa"/>
            <w:shd w:val="clear" w:color="auto" w:fill="FFFFFF"/>
          </w:tcPr>
          <w:p w14:paraId="17A134A4" w14:textId="77777777" w:rsidR="00B32B9F" w:rsidRPr="00DB6D42" w:rsidRDefault="00A478A0"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27</w:t>
            </w:r>
            <w:r w:rsidR="00BF2C53" w:rsidRPr="00DB6D42">
              <w:rPr>
                <w:rFonts w:cs="Arial"/>
                <w:color w:val="000000"/>
                <w:sz w:val="18"/>
                <w:szCs w:val="18"/>
                <w:lang w:val="en-US"/>
              </w:rPr>
              <w:t>·</w:t>
            </w:r>
            <w:r w:rsidRPr="00DB6D42">
              <w:rPr>
                <w:rFonts w:cs="Arial"/>
                <w:color w:val="000000"/>
                <w:sz w:val="18"/>
                <w:szCs w:val="18"/>
                <w:lang w:val="en-US"/>
              </w:rPr>
              <w:t>7 (8</w:t>
            </w:r>
            <w:r w:rsidR="00BF2C53" w:rsidRPr="00DB6D42">
              <w:rPr>
                <w:rFonts w:cs="Arial"/>
                <w:color w:val="000000"/>
                <w:sz w:val="18"/>
                <w:szCs w:val="18"/>
                <w:lang w:val="en-US"/>
              </w:rPr>
              <w:t>·</w:t>
            </w:r>
            <w:r w:rsidRPr="00DB6D42">
              <w:rPr>
                <w:rFonts w:cs="Arial"/>
                <w:color w:val="000000"/>
                <w:sz w:val="18"/>
                <w:szCs w:val="18"/>
                <w:lang w:val="en-US"/>
              </w:rPr>
              <w:t>3</w:t>
            </w:r>
            <w:r w:rsidR="00B32B9F" w:rsidRPr="00DB6D42">
              <w:rPr>
                <w:rFonts w:cs="Arial"/>
                <w:color w:val="000000"/>
                <w:sz w:val="18"/>
                <w:szCs w:val="18"/>
                <w:lang w:val="en-US"/>
              </w:rPr>
              <w:t>)</w:t>
            </w:r>
          </w:p>
        </w:tc>
        <w:tc>
          <w:tcPr>
            <w:tcW w:w="1618" w:type="dxa"/>
            <w:shd w:val="clear" w:color="auto" w:fill="FFFFFF"/>
          </w:tcPr>
          <w:p w14:paraId="1E6D280F" w14:textId="77777777" w:rsidR="00B32B9F" w:rsidRPr="00DB6D42" w:rsidRDefault="00A478A0"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30</w:t>
            </w:r>
            <w:r w:rsidR="00BF2C53" w:rsidRPr="00DB6D42">
              <w:rPr>
                <w:rFonts w:cs="Arial"/>
                <w:color w:val="000000"/>
                <w:sz w:val="18"/>
                <w:szCs w:val="18"/>
                <w:lang w:val="en-US"/>
              </w:rPr>
              <w:t>·</w:t>
            </w:r>
            <w:r w:rsidRPr="00DB6D42">
              <w:rPr>
                <w:rFonts w:cs="Arial"/>
                <w:color w:val="000000"/>
                <w:sz w:val="18"/>
                <w:szCs w:val="18"/>
                <w:lang w:val="en-US"/>
              </w:rPr>
              <w:t>1 (8</w:t>
            </w:r>
            <w:r w:rsidR="00BF2C53" w:rsidRPr="00DB6D42">
              <w:rPr>
                <w:rFonts w:cs="Arial"/>
                <w:color w:val="000000"/>
                <w:sz w:val="18"/>
                <w:szCs w:val="18"/>
                <w:lang w:val="en-US"/>
              </w:rPr>
              <w:t>·</w:t>
            </w:r>
            <w:r w:rsidRPr="00DB6D42">
              <w:rPr>
                <w:rFonts w:cs="Arial"/>
                <w:color w:val="000000"/>
                <w:sz w:val="18"/>
                <w:szCs w:val="18"/>
                <w:lang w:val="en-US"/>
              </w:rPr>
              <w:t>8</w:t>
            </w:r>
            <w:r w:rsidR="00B32B9F" w:rsidRPr="00DB6D42">
              <w:rPr>
                <w:rFonts w:cs="Arial"/>
                <w:color w:val="000000"/>
                <w:sz w:val="18"/>
                <w:szCs w:val="18"/>
                <w:lang w:val="en-US"/>
              </w:rPr>
              <w:t>)</w:t>
            </w:r>
          </w:p>
        </w:tc>
        <w:tc>
          <w:tcPr>
            <w:tcW w:w="1617" w:type="dxa"/>
            <w:shd w:val="clear" w:color="auto" w:fill="FFFFFF"/>
          </w:tcPr>
          <w:p w14:paraId="5CA68EEE" w14:textId="77777777" w:rsidR="00B32B9F" w:rsidRPr="00DB6D42" w:rsidRDefault="00A478A0"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30</w:t>
            </w:r>
            <w:r w:rsidR="00BF2C53" w:rsidRPr="00DB6D42">
              <w:rPr>
                <w:rFonts w:cs="Arial"/>
                <w:color w:val="000000"/>
                <w:sz w:val="18"/>
                <w:szCs w:val="18"/>
                <w:lang w:val="en-US"/>
              </w:rPr>
              <w:t>·</w:t>
            </w:r>
            <w:r w:rsidRPr="00DB6D42">
              <w:rPr>
                <w:rFonts w:cs="Arial"/>
                <w:color w:val="000000"/>
                <w:sz w:val="18"/>
                <w:szCs w:val="18"/>
                <w:lang w:val="en-US"/>
              </w:rPr>
              <w:t>7 (9</w:t>
            </w:r>
            <w:r w:rsidR="00BF2C53" w:rsidRPr="00DB6D42">
              <w:rPr>
                <w:rFonts w:cs="Arial"/>
                <w:color w:val="000000"/>
                <w:sz w:val="18"/>
                <w:szCs w:val="18"/>
                <w:lang w:val="en-US"/>
              </w:rPr>
              <w:t>·</w:t>
            </w:r>
            <w:r w:rsidR="00B32B9F" w:rsidRPr="00DB6D42">
              <w:rPr>
                <w:rFonts w:cs="Arial"/>
                <w:color w:val="000000"/>
                <w:sz w:val="18"/>
                <w:szCs w:val="18"/>
                <w:lang w:val="en-US"/>
              </w:rPr>
              <w:t>0)</w:t>
            </w:r>
          </w:p>
        </w:tc>
        <w:tc>
          <w:tcPr>
            <w:tcW w:w="1618" w:type="dxa"/>
            <w:shd w:val="clear" w:color="auto" w:fill="FFFFFF"/>
          </w:tcPr>
          <w:p w14:paraId="7CC6253C" w14:textId="77777777" w:rsidR="00B32B9F" w:rsidRPr="00DB6D42" w:rsidRDefault="00A478A0"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30</w:t>
            </w:r>
            <w:r w:rsidR="00BF2C53" w:rsidRPr="00DB6D42">
              <w:rPr>
                <w:rFonts w:cs="Arial"/>
                <w:color w:val="000000"/>
                <w:sz w:val="18"/>
                <w:szCs w:val="18"/>
                <w:lang w:val="en-US"/>
              </w:rPr>
              <w:t>·</w:t>
            </w:r>
            <w:r w:rsidRPr="00DB6D42">
              <w:rPr>
                <w:rFonts w:cs="Arial"/>
                <w:color w:val="000000"/>
                <w:sz w:val="18"/>
                <w:szCs w:val="18"/>
                <w:lang w:val="en-US"/>
              </w:rPr>
              <w:t>2 (8</w:t>
            </w:r>
            <w:r w:rsidR="00BF2C53" w:rsidRPr="00DB6D42">
              <w:rPr>
                <w:rFonts w:cs="Arial"/>
                <w:color w:val="000000"/>
                <w:sz w:val="18"/>
                <w:szCs w:val="18"/>
                <w:lang w:val="en-US"/>
              </w:rPr>
              <w:t>·</w:t>
            </w:r>
            <w:r w:rsidRPr="00DB6D42">
              <w:rPr>
                <w:rFonts w:cs="Arial"/>
                <w:color w:val="000000"/>
                <w:sz w:val="18"/>
                <w:szCs w:val="18"/>
                <w:lang w:val="en-US"/>
              </w:rPr>
              <w:t>8</w:t>
            </w:r>
            <w:r w:rsidR="00B32B9F" w:rsidRPr="00DB6D42">
              <w:rPr>
                <w:rFonts w:cs="Arial"/>
                <w:color w:val="000000"/>
                <w:sz w:val="18"/>
                <w:szCs w:val="18"/>
                <w:lang w:val="en-US"/>
              </w:rPr>
              <w:t>)</w:t>
            </w:r>
          </w:p>
        </w:tc>
      </w:tr>
      <w:tr w:rsidR="00B32B9F" w:rsidRPr="00DB6D42" w14:paraId="2DE081B0" w14:textId="77777777" w:rsidTr="009B032C">
        <w:trPr>
          <w:cantSplit/>
          <w:trHeight w:val="90"/>
          <w:tblHeader/>
          <w:jc w:val="center"/>
        </w:trPr>
        <w:tc>
          <w:tcPr>
            <w:tcW w:w="4266" w:type="dxa"/>
            <w:shd w:val="clear" w:color="auto" w:fill="FFFFFF"/>
            <w:vAlign w:val="center"/>
          </w:tcPr>
          <w:p w14:paraId="1365705F" w14:textId="77777777" w:rsidR="00B32B9F" w:rsidRPr="00DB6D42" w:rsidRDefault="00B32B9F" w:rsidP="00BB5FF5">
            <w:pPr>
              <w:keepNext/>
              <w:adjustRightInd w:val="0"/>
              <w:spacing w:after="0"/>
              <w:rPr>
                <w:rFonts w:cs="Arial"/>
                <w:color w:val="000000"/>
                <w:sz w:val="18"/>
                <w:szCs w:val="18"/>
                <w:lang w:val="en-US"/>
              </w:rPr>
            </w:pPr>
          </w:p>
        </w:tc>
        <w:tc>
          <w:tcPr>
            <w:tcW w:w="1617" w:type="dxa"/>
            <w:shd w:val="clear" w:color="auto" w:fill="FFFFFF"/>
          </w:tcPr>
          <w:p w14:paraId="3594A4B5"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227F9670" w14:textId="77777777" w:rsidR="00B32B9F" w:rsidRPr="00DB6D42" w:rsidRDefault="00B32B9F" w:rsidP="00BB5FF5">
            <w:pPr>
              <w:keepNext/>
              <w:adjustRightInd w:val="0"/>
              <w:spacing w:after="0"/>
              <w:jc w:val="center"/>
              <w:rPr>
                <w:rFonts w:cs="Arial"/>
                <w:color w:val="000000"/>
                <w:sz w:val="18"/>
                <w:szCs w:val="18"/>
                <w:lang w:val="en-US"/>
              </w:rPr>
            </w:pPr>
          </w:p>
        </w:tc>
        <w:tc>
          <w:tcPr>
            <w:tcW w:w="1617" w:type="dxa"/>
            <w:shd w:val="clear" w:color="auto" w:fill="FFFFFF"/>
          </w:tcPr>
          <w:p w14:paraId="13BB02A2"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0860C052" w14:textId="77777777" w:rsidR="00B32B9F" w:rsidRPr="00DB6D42" w:rsidRDefault="00B32B9F" w:rsidP="00BB5FF5">
            <w:pPr>
              <w:keepNext/>
              <w:adjustRightInd w:val="0"/>
              <w:spacing w:after="0"/>
              <w:jc w:val="center"/>
              <w:rPr>
                <w:rFonts w:cs="Arial"/>
                <w:color w:val="000000"/>
                <w:sz w:val="18"/>
                <w:szCs w:val="18"/>
                <w:lang w:val="en-US"/>
              </w:rPr>
            </w:pPr>
          </w:p>
        </w:tc>
        <w:tc>
          <w:tcPr>
            <w:tcW w:w="1617" w:type="dxa"/>
            <w:shd w:val="clear" w:color="auto" w:fill="FFFFFF"/>
          </w:tcPr>
          <w:p w14:paraId="02BEB780"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69925555" w14:textId="77777777" w:rsidR="00B32B9F" w:rsidRPr="00DB6D42" w:rsidRDefault="00B32B9F" w:rsidP="00BB5FF5">
            <w:pPr>
              <w:keepNext/>
              <w:adjustRightInd w:val="0"/>
              <w:spacing w:after="0"/>
              <w:jc w:val="center"/>
              <w:rPr>
                <w:rFonts w:cs="Arial"/>
                <w:color w:val="000000"/>
                <w:sz w:val="18"/>
                <w:szCs w:val="18"/>
                <w:lang w:val="en-US"/>
              </w:rPr>
            </w:pPr>
          </w:p>
        </w:tc>
      </w:tr>
      <w:tr w:rsidR="00B32B9F" w:rsidRPr="00DB6D42" w14:paraId="404111A6" w14:textId="77777777" w:rsidTr="009B032C">
        <w:trPr>
          <w:cantSplit/>
          <w:trHeight w:val="90"/>
          <w:tblHeader/>
          <w:jc w:val="center"/>
        </w:trPr>
        <w:tc>
          <w:tcPr>
            <w:tcW w:w="4266" w:type="dxa"/>
            <w:shd w:val="clear" w:color="auto" w:fill="FFFFFF"/>
            <w:vAlign w:val="center"/>
          </w:tcPr>
          <w:p w14:paraId="18DC0552" w14:textId="77777777" w:rsidR="00B32B9F" w:rsidRPr="00DB6D42" w:rsidRDefault="00B32B9F" w:rsidP="00BB5FF5">
            <w:pPr>
              <w:keepNext/>
              <w:adjustRightInd w:val="0"/>
              <w:spacing w:after="0"/>
              <w:rPr>
                <w:rFonts w:cs="Arial"/>
                <w:color w:val="000000"/>
                <w:sz w:val="18"/>
                <w:szCs w:val="18"/>
                <w:lang w:val="en-US"/>
              </w:rPr>
            </w:pPr>
            <w:r w:rsidRPr="00DB6D42">
              <w:rPr>
                <w:rFonts w:cs="Arial"/>
                <w:color w:val="000000"/>
                <w:sz w:val="18"/>
                <w:szCs w:val="18"/>
                <w:lang w:val="en-US"/>
              </w:rPr>
              <w:t>Gender, % male</w:t>
            </w:r>
          </w:p>
        </w:tc>
        <w:tc>
          <w:tcPr>
            <w:tcW w:w="1617" w:type="dxa"/>
            <w:shd w:val="clear" w:color="auto" w:fill="FFFFFF"/>
          </w:tcPr>
          <w:p w14:paraId="4BC4E019"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21</w:t>
            </w:r>
            <w:r w:rsidR="00BF2C53" w:rsidRPr="00DB6D42">
              <w:rPr>
                <w:rFonts w:cs="Arial"/>
                <w:color w:val="000000"/>
                <w:sz w:val="18"/>
                <w:szCs w:val="18"/>
                <w:lang w:val="en-US"/>
              </w:rPr>
              <w:t>·</w:t>
            </w:r>
            <w:r w:rsidRPr="00DB6D42">
              <w:rPr>
                <w:rFonts w:cs="Arial"/>
                <w:color w:val="000000"/>
                <w:sz w:val="18"/>
                <w:szCs w:val="18"/>
                <w:lang w:val="en-US"/>
              </w:rPr>
              <w:t>3</w:t>
            </w:r>
          </w:p>
        </w:tc>
        <w:tc>
          <w:tcPr>
            <w:tcW w:w="1618" w:type="dxa"/>
            <w:shd w:val="clear" w:color="auto" w:fill="FFFFFF"/>
          </w:tcPr>
          <w:p w14:paraId="5AD5F998"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22</w:t>
            </w:r>
            <w:r w:rsidR="00BF2C53" w:rsidRPr="00DB6D42">
              <w:rPr>
                <w:rFonts w:cs="Arial"/>
                <w:color w:val="000000"/>
                <w:sz w:val="18"/>
                <w:szCs w:val="18"/>
                <w:lang w:val="en-US"/>
              </w:rPr>
              <w:t>·</w:t>
            </w:r>
            <w:r w:rsidRPr="00DB6D42">
              <w:rPr>
                <w:rFonts w:cs="Arial"/>
                <w:color w:val="000000"/>
                <w:sz w:val="18"/>
                <w:szCs w:val="18"/>
                <w:lang w:val="en-US"/>
              </w:rPr>
              <w:t>9</w:t>
            </w:r>
          </w:p>
        </w:tc>
        <w:tc>
          <w:tcPr>
            <w:tcW w:w="1617" w:type="dxa"/>
            <w:shd w:val="clear" w:color="auto" w:fill="FFFFFF"/>
          </w:tcPr>
          <w:p w14:paraId="5DD5263E"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23</w:t>
            </w:r>
            <w:r w:rsidR="00BF2C53" w:rsidRPr="00DB6D42">
              <w:rPr>
                <w:rFonts w:cs="Arial"/>
                <w:color w:val="000000"/>
                <w:sz w:val="18"/>
                <w:szCs w:val="18"/>
                <w:lang w:val="en-US"/>
              </w:rPr>
              <w:t>·</w:t>
            </w:r>
            <w:r w:rsidRPr="00DB6D42">
              <w:rPr>
                <w:rFonts w:cs="Arial"/>
                <w:color w:val="000000"/>
                <w:sz w:val="18"/>
                <w:szCs w:val="18"/>
                <w:lang w:val="en-US"/>
              </w:rPr>
              <w:t>9</w:t>
            </w:r>
          </w:p>
        </w:tc>
        <w:tc>
          <w:tcPr>
            <w:tcW w:w="1618" w:type="dxa"/>
            <w:shd w:val="clear" w:color="auto" w:fill="FFFFFF"/>
          </w:tcPr>
          <w:p w14:paraId="5528F330"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28</w:t>
            </w:r>
            <w:r w:rsidR="00BF2C53" w:rsidRPr="00DB6D42">
              <w:rPr>
                <w:rFonts w:cs="Arial"/>
                <w:color w:val="000000"/>
                <w:sz w:val="18"/>
                <w:szCs w:val="18"/>
                <w:lang w:val="en-US"/>
              </w:rPr>
              <w:t>·</w:t>
            </w:r>
            <w:r w:rsidRPr="00DB6D42">
              <w:rPr>
                <w:rFonts w:cs="Arial"/>
                <w:color w:val="000000"/>
                <w:sz w:val="18"/>
                <w:szCs w:val="18"/>
                <w:lang w:val="en-US"/>
              </w:rPr>
              <w:t>9</w:t>
            </w:r>
          </w:p>
        </w:tc>
        <w:tc>
          <w:tcPr>
            <w:tcW w:w="1617" w:type="dxa"/>
            <w:shd w:val="clear" w:color="auto" w:fill="FFFFFF"/>
          </w:tcPr>
          <w:p w14:paraId="1F064A09"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31</w:t>
            </w:r>
            <w:r w:rsidR="00BF2C53" w:rsidRPr="00DB6D42">
              <w:rPr>
                <w:rFonts w:cs="Arial"/>
                <w:color w:val="000000"/>
                <w:sz w:val="18"/>
                <w:szCs w:val="18"/>
                <w:lang w:val="en-US"/>
              </w:rPr>
              <w:t>·</w:t>
            </w:r>
            <w:r w:rsidRPr="00DB6D42">
              <w:rPr>
                <w:rFonts w:cs="Arial"/>
                <w:color w:val="000000"/>
                <w:sz w:val="18"/>
                <w:szCs w:val="18"/>
                <w:lang w:val="en-US"/>
              </w:rPr>
              <w:t>1</w:t>
            </w:r>
          </w:p>
        </w:tc>
        <w:tc>
          <w:tcPr>
            <w:tcW w:w="1618" w:type="dxa"/>
            <w:shd w:val="clear" w:color="auto" w:fill="FFFFFF"/>
          </w:tcPr>
          <w:p w14:paraId="4F530DB1"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25</w:t>
            </w:r>
            <w:r w:rsidR="00BF2C53" w:rsidRPr="00DB6D42">
              <w:rPr>
                <w:rFonts w:cs="Arial"/>
                <w:color w:val="000000"/>
                <w:sz w:val="18"/>
                <w:szCs w:val="18"/>
                <w:lang w:val="en-US"/>
              </w:rPr>
              <w:t>·</w:t>
            </w:r>
            <w:r w:rsidRPr="00DB6D42">
              <w:rPr>
                <w:rFonts w:cs="Arial"/>
                <w:color w:val="000000"/>
                <w:sz w:val="18"/>
                <w:szCs w:val="18"/>
                <w:lang w:val="en-US"/>
              </w:rPr>
              <w:t>5</w:t>
            </w:r>
          </w:p>
        </w:tc>
      </w:tr>
      <w:tr w:rsidR="00B32B9F" w:rsidRPr="00DB6D42" w14:paraId="596C3048" w14:textId="77777777" w:rsidTr="009B032C">
        <w:trPr>
          <w:cantSplit/>
          <w:trHeight w:val="90"/>
          <w:tblHeader/>
          <w:jc w:val="center"/>
        </w:trPr>
        <w:tc>
          <w:tcPr>
            <w:tcW w:w="4266" w:type="dxa"/>
            <w:shd w:val="clear" w:color="auto" w:fill="FFFFFF"/>
            <w:vAlign w:val="center"/>
          </w:tcPr>
          <w:p w14:paraId="1B4ED8AF" w14:textId="77777777" w:rsidR="00B32B9F" w:rsidRPr="00DB6D42" w:rsidRDefault="00B32B9F" w:rsidP="00BB5FF5">
            <w:pPr>
              <w:keepNext/>
              <w:adjustRightInd w:val="0"/>
              <w:spacing w:after="0"/>
              <w:rPr>
                <w:rFonts w:cs="Arial"/>
                <w:color w:val="000000"/>
                <w:sz w:val="18"/>
                <w:szCs w:val="18"/>
                <w:lang w:val="en-US"/>
              </w:rPr>
            </w:pPr>
          </w:p>
        </w:tc>
        <w:tc>
          <w:tcPr>
            <w:tcW w:w="1617" w:type="dxa"/>
            <w:shd w:val="clear" w:color="auto" w:fill="FFFFFF"/>
          </w:tcPr>
          <w:p w14:paraId="3ADB8113"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11F38508" w14:textId="77777777" w:rsidR="00B32B9F" w:rsidRPr="00DB6D42" w:rsidRDefault="00B32B9F" w:rsidP="00BB5FF5">
            <w:pPr>
              <w:keepNext/>
              <w:adjustRightInd w:val="0"/>
              <w:spacing w:after="0"/>
              <w:jc w:val="center"/>
              <w:rPr>
                <w:rFonts w:cs="Arial"/>
                <w:color w:val="000000"/>
                <w:sz w:val="18"/>
                <w:szCs w:val="18"/>
                <w:lang w:val="en-US"/>
              </w:rPr>
            </w:pPr>
          </w:p>
        </w:tc>
        <w:tc>
          <w:tcPr>
            <w:tcW w:w="1617" w:type="dxa"/>
            <w:shd w:val="clear" w:color="auto" w:fill="FFFFFF"/>
          </w:tcPr>
          <w:p w14:paraId="46433030"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1A9C88B1" w14:textId="77777777" w:rsidR="00B32B9F" w:rsidRPr="00DB6D42" w:rsidRDefault="00B32B9F" w:rsidP="00BB5FF5">
            <w:pPr>
              <w:keepNext/>
              <w:adjustRightInd w:val="0"/>
              <w:spacing w:after="0"/>
              <w:jc w:val="center"/>
              <w:rPr>
                <w:rFonts w:cs="Arial"/>
                <w:color w:val="000000"/>
                <w:sz w:val="18"/>
                <w:szCs w:val="18"/>
                <w:lang w:val="en-US"/>
              </w:rPr>
            </w:pPr>
          </w:p>
        </w:tc>
        <w:tc>
          <w:tcPr>
            <w:tcW w:w="1617" w:type="dxa"/>
            <w:shd w:val="clear" w:color="auto" w:fill="FFFFFF"/>
          </w:tcPr>
          <w:p w14:paraId="0234AD52"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39E9CD0D" w14:textId="77777777" w:rsidR="00B32B9F" w:rsidRPr="00DB6D42" w:rsidRDefault="00B32B9F" w:rsidP="00BB5FF5">
            <w:pPr>
              <w:keepNext/>
              <w:adjustRightInd w:val="0"/>
              <w:spacing w:after="0"/>
              <w:jc w:val="center"/>
              <w:rPr>
                <w:rFonts w:cs="Arial"/>
                <w:color w:val="000000"/>
                <w:sz w:val="18"/>
                <w:szCs w:val="18"/>
                <w:lang w:val="en-US"/>
              </w:rPr>
            </w:pPr>
          </w:p>
        </w:tc>
      </w:tr>
      <w:tr w:rsidR="00B32B9F" w:rsidRPr="00DB6D42" w14:paraId="21A174CC" w14:textId="77777777" w:rsidTr="009B032C">
        <w:trPr>
          <w:cantSplit/>
          <w:trHeight w:val="90"/>
          <w:tblHeader/>
          <w:jc w:val="center"/>
        </w:trPr>
        <w:tc>
          <w:tcPr>
            <w:tcW w:w="4266" w:type="dxa"/>
            <w:shd w:val="clear" w:color="auto" w:fill="FFFFFF"/>
            <w:vAlign w:val="center"/>
          </w:tcPr>
          <w:p w14:paraId="268532B8" w14:textId="77777777" w:rsidR="00B32B9F" w:rsidRPr="00DB6D42" w:rsidRDefault="00B32B9F" w:rsidP="00BB5FF5">
            <w:pPr>
              <w:keepNext/>
              <w:adjustRightInd w:val="0"/>
              <w:spacing w:after="0"/>
              <w:rPr>
                <w:rFonts w:cs="Arial"/>
                <w:color w:val="000000"/>
                <w:sz w:val="18"/>
                <w:szCs w:val="18"/>
                <w:lang w:val="en-US"/>
              </w:rPr>
            </w:pPr>
            <w:r w:rsidRPr="00DB6D42">
              <w:rPr>
                <w:rFonts w:cs="Arial"/>
                <w:color w:val="000000"/>
                <w:sz w:val="18"/>
                <w:szCs w:val="18"/>
                <w:lang w:val="en-US"/>
              </w:rPr>
              <w:t xml:space="preserve">Conventional ELISA, mean (SD) </w:t>
            </w:r>
          </w:p>
        </w:tc>
        <w:tc>
          <w:tcPr>
            <w:tcW w:w="1617" w:type="dxa"/>
            <w:shd w:val="clear" w:color="auto" w:fill="FFFFFF"/>
          </w:tcPr>
          <w:p w14:paraId="5EF77A49"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w:t>
            </w:r>
            <w:r w:rsidR="00BF2C53" w:rsidRPr="00DB6D42">
              <w:rPr>
                <w:rFonts w:cs="Arial"/>
                <w:color w:val="000000"/>
                <w:sz w:val="18"/>
                <w:szCs w:val="18"/>
                <w:lang w:val="en-US"/>
              </w:rPr>
              <w:t>·</w:t>
            </w:r>
            <w:r w:rsidRPr="00DB6D42">
              <w:rPr>
                <w:rFonts w:cs="Arial"/>
                <w:color w:val="000000"/>
                <w:sz w:val="18"/>
                <w:szCs w:val="18"/>
                <w:lang w:val="en-US"/>
              </w:rPr>
              <w:t>4046 (0</w:t>
            </w:r>
            <w:r w:rsidR="00BF2C53" w:rsidRPr="00DB6D42">
              <w:rPr>
                <w:rFonts w:cs="Arial"/>
                <w:color w:val="000000"/>
                <w:sz w:val="18"/>
                <w:szCs w:val="18"/>
                <w:lang w:val="en-US"/>
              </w:rPr>
              <w:t>·</w:t>
            </w:r>
            <w:r w:rsidRPr="00DB6D42">
              <w:rPr>
                <w:rFonts w:cs="Arial"/>
                <w:color w:val="000000"/>
                <w:sz w:val="18"/>
                <w:szCs w:val="18"/>
                <w:lang w:val="en-US"/>
              </w:rPr>
              <w:t>4214)</w:t>
            </w:r>
          </w:p>
        </w:tc>
        <w:tc>
          <w:tcPr>
            <w:tcW w:w="1618" w:type="dxa"/>
            <w:shd w:val="clear" w:color="auto" w:fill="FFFFFF"/>
          </w:tcPr>
          <w:p w14:paraId="571B1A42"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w:t>
            </w:r>
            <w:r w:rsidR="00BF2C53" w:rsidRPr="00DB6D42">
              <w:rPr>
                <w:rFonts w:cs="Arial"/>
                <w:color w:val="000000"/>
                <w:sz w:val="18"/>
                <w:szCs w:val="18"/>
                <w:lang w:val="en-US"/>
              </w:rPr>
              <w:t>·</w:t>
            </w:r>
            <w:r w:rsidRPr="00DB6D42">
              <w:rPr>
                <w:rFonts w:cs="Arial"/>
                <w:color w:val="000000"/>
                <w:sz w:val="18"/>
                <w:szCs w:val="18"/>
                <w:lang w:val="en-US"/>
              </w:rPr>
              <w:t>2192 (0</w:t>
            </w:r>
            <w:r w:rsidR="00BF2C53" w:rsidRPr="00DB6D42">
              <w:rPr>
                <w:rFonts w:cs="Arial"/>
                <w:color w:val="000000"/>
                <w:sz w:val="18"/>
                <w:szCs w:val="18"/>
                <w:lang w:val="en-US"/>
              </w:rPr>
              <w:t>·</w:t>
            </w:r>
            <w:r w:rsidRPr="00DB6D42">
              <w:rPr>
                <w:rFonts w:cs="Arial"/>
                <w:color w:val="000000"/>
                <w:sz w:val="18"/>
                <w:szCs w:val="18"/>
                <w:lang w:val="en-US"/>
              </w:rPr>
              <w:t>5652)</w:t>
            </w:r>
          </w:p>
        </w:tc>
        <w:tc>
          <w:tcPr>
            <w:tcW w:w="1617" w:type="dxa"/>
            <w:shd w:val="clear" w:color="auto" w:fill="FFFFFF"/>
          </w:tcPr>
          <w:p w14:paraId="45CB4AB7"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w:t>
            </w:r>
            <w:r w:rsidR="00BF2C53" w:rsidRPr="00DB6D42">
              <w:rPr>
                <w:rFonts w:cs="Arial"/>
                <w:color w:val="000000"/>
                <w:sz w:val="18"/>
                <w:szCs w:val="18"/>
                <w:lang w:val="en-US"/>
              </w:rPr>
              <w:t>·</w:t>
            </w:r>
            <w:r w:rsidRPr="00DB6D42">
              <w:rPr>
                <w:rFonts w:cs="Arial"/>
                <w:color w:val="000000"/>
                <w:sz w:val="18"/>
                <w:szCs w:val="18"/>
                <w:lang w:val="en-US"/>
              </w:rPr>
              <w:t>3248 (0</w:t>
            </w:r>
            <w:r w:rsidR="00BF2C53" w:rsidRPr="00DB6D42">
              <w:rPr>
                <w:rFonts w:cs="Arial"/>
                <w:color w:val="000000"/>
                <w:sz w:val="18"/>
                <w:szCs w:val="18"/>
                <w:lang w:val="en-US"/>
              </w:rPr>
              <w:t>·</w:t>
            </w:r>
            <w:r w:rsidRPr="00DB6D42">
              <w:rPr>
                <w:rFonts w:cs="Arial"/>
                <w:color w:val="000000"/>
                <w:sz w:val="18"/>
                <w:szCs w:val="18"/>
                <w:lang w:val="en-US"/>
              </w:rPr>
              <w:t>5569)</w:t>
            </w:r>
          </w:p>
        </w:tc>
        <w:tc>
          <w:tcPr>
            <w:tcW w:w="1618" w:type="dxa"/>
            <w:shd w:val="clear" w:color="auto" w:fill="FFFFFF"/>
          </w:tcPr>
          <w:p w14:paraId="22FE282C"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w:t>
            </w:r>
            <w:r w:rsidR="00BF2C53" w:rsidRPr="00DB6D42">
              <w:rPr>
                <w:rFonts w:cs="Arial"/>
                <w:color w:val="000000"/>
                <w:sz w:val="18"/>
                <w:szCs w:val="18"/>
                <w:lang w:val="en-US"/>
              </w:rPr>
              <w:t>·</w:t>
            </w:r>
            <w:r w:rsidRPr="00DB6D42">
              <w:rPr>
                <w:rFonts w:cs="Arial"/>
                <w:color w:val="000000"/>
                <w:sz w:val="18"/>
                <w:szCs w:val="18"/>
                <w:lang w:val="en-US"/>
              </w:rPr>
              <w:t>2421 (0</w:t>
            </w:r>
            <w:r w:rsidR="00BF2C53" w:rsidRPr="00DB6D42">
              <w:rPr>
                <w:rFonts w:cs="Arial"/>
                <w:color w:val="000000"/>
                <w:sz w:val="18"/>
                <w:szCs w:val="18"/>
                <w:lang w:val="en-US"/>
              </w:rPr>
              <w:t>·</w:t>
            </w:r>
            <w:r w:rsidRPr="00DB6D42">
              <w:rPr>
                <w:rFonts w:cs="Arial"/>
                <w:color w:val="000000"/>
                <w:sz w:val="18"/>
                <w:szCs w:val="18"/>
                <w:lang w:val="en-US"/>
              </w:rPr>
              <w:t>5705)</w:t>
            </w:r>
          </w:p>
        </w:tc>
        <w:tc>
          <w:tcPr>
            <w:tcW w:w="1617" w:type="dxa"/>
            <w:shd w:val="clear" w:color="auto" w:fill="FFFFFF"/>
          </w:tcPr>
          <w:p w14:paraId="0B57E3B9"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w:t>
            </w:r>
            <w:r w:rsidR="00BF2C53" w:rsidRPr="00DB6D42">
              <w:rPr>
                <w:rFonts w:cs="Arial"/>
                <w:color w:val="000000"/>
                <w:sz w:val="18"/>
                <w:szCs w:val="18"/>
                <w:lang w:val="en-US"/>
              </w:rPr>
              <w:t>·</w:t>
            </w:r>
            <w:r w:rsidRPr="00DB6D42">
              <w:rPr>
                <w:rFonts w:cs="Arial"/>
                <w:color w:val="000000"/>
                <w:sz w:val="18"/>
                <w:szCs w:val="18"/>
                <w:lang w:val="en-US"/>
              </w:rPr>
              <w:t>1981 (0</w:t>
            </w:r>
            <w:r w:rsidR="00BF2C53" w:rsidRPr="00DB6D42">
              <w:rPr>
                <w:rFonts w:cs="Arial"/>
                <w:color w:val="000000"/>
                <w:sz w:val="18"/>
                <w:szCs w:val="18"/>
                <w:lang w:val="en-US"/>
              </w:rPr>
              <w:t>·</w:t>
            </w:r>
            <w:r w:rsidRPr="00DB6D42">
              <w:rPr>
                <w:rFonts w:cs="Arial"/>
                <w:color w:val="000000"/>
                <w:sz w:val="18"/>
                <w:szCs w:val="18"/>
                <w:lang w:val="en-US"/>
              </w:rPr>
              <w:t>6339)</w:t>
            </w:r>
          </w:p>
        </w:tc>
        <w:tc>
          <w:tcPr>
            <w:tcW w:w="1618" w:type="dxa"/>
            <w:shd w:val="clear" w:color="auto" w:fill="FFFFFF"/>
          </w:tcPr>
          <w:p w14:paraId="45C7EB7A"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w:t>
            </w:r>
            <w:r w:rsidR="00BF2C53" w:rsidRPr="00DB6D42">
              <w:rPr>
                <w:rFonts w:cs="Arial"/>
                <w:color w:val="000000"/>
                <w:sz w:val="18"/>
                <w:szCs w:val="18"/>
                <w:lang w:val="en-US"/>
              </w:rPr>
              <w:t>·</w:t>
            </w:r>
            <w:r w:rsidRPr="00DB6D42">
              <w:rPr>
                <w:rFonts w:cs="Arial"/>
                <w:color w:val="000000"/>
                <w:sz w:val="18"/>
                <w:szCs w:val="18"/>
                <w:lang w:val="en-US"/>
              </w:rPr>
              <w:t>2783 (0</w:t>
            </w:r>
            <w:r w:rsidR="00BF2C53" w:rsidRPr="00DB6D42">
              <w:rPr>
                <w:rFonts w:cs="Arial"/>
                <w:color w:val="000000"/>
                <w:sz w:val="18"/>
                <w:szCs w:val="18"/>
                <w:lang w:val="en-US"/>
              </w:rPr>
              <w:t>·</w:t>
            </w:r>
            <w:r w:rsidRPr="00DB6D42">
              <w:rPr>
                <w:rFonts w:cs="Arial"/>
                <w:color w:val="000000"/>
                <w:sz w:val="18"/>
                <w:szCs w:val="18"/>
                <w:lang w:val="en-US"/>
              </w:rPr>
              <w:t>5537)</w:t>
            </w:r>
          </w:p>
        </w:tc>
      </w:tr>
      <w:tr w:rsidR="00B32B9F" w:rsidRPr="00DB6D42" w14:paraId="0A911AFA" w14:textId="77777777" w:rsidTr="009B032C">
        <w:trPr>
          <w:cantSplit/>
          <w:jc w:val="center"/>
        </w:trPr>
        <w:tc>
          <w:tcPr>
            <w:tcW w:w="4266" w:type="dxa"/>
            <w:shd w:val="clear" w:color="auto" w:fill="FFFFFF"/>
          </w:tcPr>
          <w:p w14:paraId="4A0A88E8" w14:textId="77777777" w:rsidR="00B32B9F" w:rsidRPr="00DB6D42" w:rsidRDefault="00B32B9F" w:rsidP="00BB5FF5">
            <w:pPr>
              <w:keepNext/>
              <w:adjustRightInd w:val="0"/>
              <w:spacing w:after="0"/>
              <w:rPr>
                <w:rFonts w:cs="Arial"/>
                <w:color w:val="000000"/>
                <w:sz w:val="18"/>
                <w:szCs w:val="18"/>
                <w:lang w:val="en-US"/>
              </w:rPr>
            </w:pPr>
            <w:r w:rsidRPr="00DB6D42">
              <w:rPr>
                <w:rFonts w:cs="Arial"/>
                <w:color w:val="000000"/>
                <w:sz w:val="18"/>
                <w:szCs w:val="18"/>
                <w:lang w:val="en-US"/>
              </w:rPr>
              <w:t>ELISA, kit recombinant 1 (Wiener), mean (SD)</w:t>
            </w:r>
          </w:p>
        </w:tc>
        <w:tc>
          <w:tcPr>
            <w:tcW w:w="1617" w:type="dxa"/>
            <w:shd w:val="clear" w:color="auto" w:fill="FFFFFF"/>
          </w:tcPr>
          <w:p w14:paraId="1132FB1C"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w:t>
            </w:r>
            <w:r w:rsidR="00BF2C53" w:rsidRPr="00DB6D42">
              <w:rPr>
                <w:rFonts w:cs="Arial"/>
                <w:color w:val="000000"/>
                <w:sz w:val="18"/>
                <w:szCs w:val="18"/>
                <w:lang w:val="en-US"/>
              </w:rPr>
              <w:t>·</w:t>
            </w:r>
            <w:r w:rsidRPr="00DB6D42">
              <w:rPr>
                <w:rFonts w:cs="Arial"/>
                <w:color w:val="000000"/>
                <w:sz w:val="18"/>
                <w:szCs w:val="18"/>
                <w:lang w:val="en-US"/>
              </w:rPr>
              <w:t>9409 (0</w:t>
            </w:r>
            <w:r w:rsidR="00BF2C53" w:rsidRPr="00DB6D42">
              <w:rPr>
                <w:rFonts w:cs="Arial"/>
                <w:color w:val="000000"/>
                <w:sz w:val="18"/>
                <w:szCs w:val="18"/>
                <w:lang w:val="en-US"/>
              </w:rPr>
              <w:t>·</w:t>
            </w:r>
            <w:r w:rsidRPr="00DB6D42">
              <w:rPr>
                <w:rFonts w:cs="Arial"/>
                <w:color w:val="000000"/>
                <w:sz w:val="18"/>
                <w:szCs w:val="18"/>
                <w:lang w:val="en-US"/>
              </w:rPr>
              <w:t>1397)</w:t>
            </w:r>
          </w:p>
        </w:tc>
        <w:tc>
          <w:tcPr>
            <w:tcW w:w="1618" w:type="dxa"/>
            <w:shd w:val="clear" w:color="auto" w:fill="FFFFFF"/>
          </w:tcPr>
          <w:p w14:paraId="6BD817F1"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w:t>
            </w:r>
            <w:r w:rsidR="00BF2C53" w:rsidRPr="00DB6D42">
              <w:rPr>
                <w:rFonts w:cs="Arial"/>
                <w:color w:val="000000"/>
                <w:sz w:val="18"/>
                <w:szCs w:val="18"/>
                <w:lang w:val="en-US"/>
              </w:rPr>
              <w:t>·</w:t>
            </w:r>
            <w:r w:rsidRPr="00DB6D42">
              <w:rPr>
                <w:rFonts w:cs="Arial"/>
                <w:color w:val="000000"/>
                <w:sz w:val="18"/>
                <w:szCs w:val="18"/>
                <w:lang w:val="en-US"/>
              </w:rPr>
              <w:t>8659 (0</w:t>
            </w:r>
            <w:r w:rsidR="00BF2C53" w:rsidRPr="00DB6D42">
              <w:rPr>
                <w:rFonts w:cs="Arial"/>
                <w:color w:val="000000"/>
                <w:sz w:val="18"/>
                <w:szCs w:val="18"/>
                <w:lang w:val="en-US"/>
              </w:rPr>
              <w:t>·</w:t>
            </w:r>
            <w:r w:rsidRPr="00DB6D42">
              <w:rPr>
                <w:rFonts w:cs="Arial"/>
                <w:color w:val="000000"/>
                <w:sz w:val="18"/>
                <w:szCs w:val="18"/>
                <w:lang w:val="en-US"/>
              </w:rPr>
              <w:t>3362)</w:t>
            </w:r>
          </w:p>
        </w:tc>
        <w:tc>
          <w:tcPr>
            <w:tcW w:w="1617" w:type="dxa"/>
            <w:shd w:val="clear" w:color="auto" w:fill="FFFFFF"/>
          </w:tcPr>
          <w:p w14:paraId="5C1B7049"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w:t>
            </w:r>
            <w:r w:rsidR="00BF2C53" w:rsidRPr="00DB6D42">
              <w:rPr>
                <w:rFonts w:cs="Arial"/>
                <w:color w:val="000000"/>
                <w:sz w:val="18"/>
                <w:szCs w:val="18"/>
                <w:lang w:val="en-US"/>
              </w:rPr>
              <w:t>·</w:t>
            </w:r>
            <w:r w:rsidRPr="00DB6D42">
              <w:rPr>
                <w:rFonts w:cs="Arial"/>
                <w:color w:val="000000"/>
                <w:sz w:val="18"/>
                <w:szCs w:val="18"/>
                <w:lang w:val="en-US"/>
              </w:rPr>
              <w:t>9598 (0</w:t>
            </w:r>
            <w:r w:rsidR="00BF2C53" w:rsidRPr="00DB6D42">
              <w:rPr>
                <w:rFonts w:cs="Arial"/>
                <w:color w:val="000000"/>
                <w:sz w:val="18"/>
                <w:szCs w:val="18"/>
                <w:lang w:val="en-US"/>
              </w:rPr>
              <w:t>·</w:t>
            </w:r>
            <w:r w:rsidRPr="00DB6D42">
              <w:rPr>
                <w:rFonts w:cs="Arial"/>
                <w:color w:val="000000"/>
                <w:sz w:val="18"/>
                <w:szCs w:val="18"/>
                <w:lang w:val="en-US"/>
              </w:rPr>
              <w:t>1197)</w:t>
            </w:r>
          </w:p>
        </w:tc>
        <w:tc>
          <w:tcPr>
            <w:tcW w:w="1618" w:type="dxa"/>
            <w:shd w:val="clear" w:color="auto" w:fill="FFFFFF"/>
          </w:tcPr>
          <w:p w14:paraId="23AF848D"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w:t>
            </w:r>
            <w:r w:rsidR="00BF2C53" w:rsidRPr="00DB6D42">
              <w:rPr>
                <w:rFonts w:cs="Arial"/>
                <w:color w:val="000000"/>
                <w:sz w:val="18"/>
                <w:szCs w:val="18"/>
                <w:lang w:val="en-US"/>
              </w:rPr>
              <w:t>·</w:t>
            </w:r>
            <w:r w:rsidRPr="00DB6D42">
              <w:rPr>
                <w:rFonts w:cs="Arial"/>
                <w:color w:val="000000"/>
                <w:sz w:val="18"/>
                <w:szCs w:val="18"/>
                <w:lang w:val="en-US"/>
              </w:rPr>
              <w:t>9049 (0</w:t>
            </w:r>
            <w:r w:rsidR="00BF2C53" w:rsidRPr="00DB6D42">
              <w:rPr>
                <w:rFonts w:cs="Arial"/>
                <w:color w:val="000000"/>
                <w:sz w:val="18"/>
                <w:szCs w:val="18"/>
                <w:lang w:val="en-US"/>
              </w:rPr>
              <w:t>·</w:t>
            </w:r>
            <w:r w:rsidRPr="00DB6D42">
              <w:rPr>
                <w:rFonts w:cs="Arial"/>
                <w:color w:val="000000"/>
                <w:sz w:val="18"/>
                <w:szCs w:val="18"/>
                <w:lang w:val="en-US"/>
              </w:rPr>
              <w:t>3000)</w:t>
            </w:r>
          </w:p>
        </w:tc>
        <w:tc>
          <w:tcPr>
            <w:tcW w:w="1617" w:type="dxa"/>
            <w:shd w:val="clear" w:color="auto" w:fill="FFFFFF"/>
          </w:tcPr>
          <w:p w14:paraId="1F7CDB82"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w:t>
            </w:r>
            <w:r w:rsidR="00BF2C53" w:rsidRPr="00DB6D42">
              <w:rPr>
                <w:rFonts w:cs="Arial"/>
                <w:color w:val="000000"/>
                <w:sz w:val="18"/>
                <w:szCs w:val="18"/>
                <w:lang w:val="en-US"/>
              </w:rPr>
              <w:t>·</w:t>
            </w:r>
            <w:r w:rsidRPr="00DB6D42">
              <w:rPr>
                <w:rFonts w:cs="Arial"/>
                <w:color w:val="000000"/>
                <w:sz w:val="18"/>
                <w:szCs w:val="18"/>
                <w:lang w:val="en-US"/>
              </w:rPr>
              <w:t>8816 (0</w:t>
            </w:r>
            <w:r w:rsidR="00BF2C53" w:rsidRPr="00DB6D42">
              <w:rPr>
                <w:rFonts w:cs="Arial"/>
                <w:color w:val="000000"/>
                <w:sz w:val="18"/>
                <w:szCs w:val="18"/>
                <w:lang w:val="en-US"/>
              </w:rPr>
              <w:t>·</w:t>
            </w:r>
            <w:r w:rsidRPr="00DB6D42">
              <w:rPr>
                <w:rFonts w:cs="Arial"/>
                <w:color w:val="000000"/>
                <w:sz w:val="18"/>
                <w:szCs w:val="18"/>
                <w:lang w:val="en-US"/>
              </w:rPr>
              <w:t>3554)</w:t>
            </w:r>
          </w:p>
        </w:tc>
        <w:tc>
          <w:tcPr>
            <w:tcW w:w="1618" w:type="dxa"/>
            <w:shd w:val="clear" w:color="auto" w:fill="FFFFFF"/>
          </w:tcPr>
          <w:p w14:paraId="13FDCC3E"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w:t>
            </w:r>
            <w:r w:rsidR="00BF2C53" w:rsidRPr="00DB6D42">
              <w:rPr>
                <w:rFonts w:cs="Arial"/>
                <w:color w:val="000000"/>
                <w:sz w:val="18"/>
                <w:szCs w:val="18"/>
                <w:lang w:val="en-US"/>
              </w:rPr>
              <w:t>·</w:t>
            </w:r>
            <w:r w:rsidRPr="00DB6D42">
              <w:rPr>
                <w:rFonts w:cs="Arial"/>
                <w:color w:val="000000"/>
                <w:sz w:val="18"/>
                <w:szCs w:val="18"/>
                <w:lang w:val="en-US"/>
              </w:rPr>
              <w:t>9105 (0</w:t>
            </w:r>
            <w:r w:rsidR="00BF2C53" w:rsidRPr="00DB6D42">
              <w:rPr>
                <w:rFonts w:cs="Arial"/>
                <w:color w:val="000000"/>
                <w:sz w:val="18"/>
                <w:szCs w:val="18"/>
                <w:lang w:val="en-US"/>
              </w:rPr>
              <w:t>·</w:t>
            </w:r>
            <w:r w:rsidRPr="00DB6D42">
              <w:rPr>
                <w:rFonts w:cs="Arial"/>
                <w:color w:val="000000"/>
                <w:sz w:val="18"/>
                <w:szCs w:val="18"/>
                <w:lang w:val="en-US"/>
              </w:rPr>
              <w:t>2691)</w:t>
            </w:r>
          </w:p>
        </w:tc>
      </w:tr>
      <w:tr w:rsidR="00B32B9F" w:rsidRPr="00DB6D42" w14:paraId="0D8FBA9F" w14:textId="77777777" w:rsidTr="009B032C">
        <w:trPr>
          <w:cantSplit/>
          <w:trHeight w:val="90"/>
          <w:tblHeader/>
          <w:jc w:val="center"/>
        </w:trPr>
        <w:tc>
          <w:tcPr>
            <w:tcW w:w="4266" w:type="dxa"/>
            <w:shd w:val="clear" w:color="auto" w:fill="FFFFFF"/>
            <w:vAlign w:val="center"/>
          </w:tcPr>
          <w:p w14:paraId="7BC4A1FD" w14:textId="77777777" w:rsidR="00B32B9F" w:rsidRPr="00DB6D42" w:rsidRDefault="00B32B9F" w:rsidP="00BB5FF5">
            <w:pPr>
              <w:keepNext/>
              <w:adjustRightInd w:val="0"/>
              <w:spacing w:after="0"/>
              <w:rPr>
                <w:rFonts w:cs="Arial"/>
                <w:color w:val="000000"/>
                <w:sz w:val="18"/>
                <w:szCs w:val="18"/>
                <w:lang w:val="en-US"/>
              </w:rPr>
            </w:pPr>
          </w:p>
        </w:tc>
        <w:tc>
          <w:tcPr>
            <w:tcW w:w="1617" w:type="dxa"/>
            <w:shd w:val="clear" w:color="auto" w:fill="FFFFFF"/>
          </w:tcPr>
          <w:p w14:paraId="41875774"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0032D064" w14:textId="77777777" w:rsidR="00B32B9F" w:rsidRPr="00DB6D42" w:rsidRDefault="00B32B9F" w:rsidP="00BB5FF5">
            <w:pPr>
              <w:keepNext/>
              <w:adjustRightInd w:val="0"/>
              <w:spacing w:after="0"/>
              <w:jc w:val="center"/>
              <w:rPr>
                <w:rFonts w:cs="Arial"/>
                <w:color w:val="000000"/>
                <w:sz w:val="18"/>
                <w:szCs w:val="18"/>
                <w:lang w:val="en-US"/>
              </w:rPr>
            </w:pPr>
          </w:p>
        </w:tc>
        <w:tc>
          <w:tcPr>
            <w:tcW w:w="1617" w:type="dxa"/>
            <w:shd w:val="clear" w:color="auto" w:fill="FFFFFF"/>
          </w:tcPr>
          <w:p w14:paraId="3871383D"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6A874092" w14:textId="77777777" w:rsidR="00B32B9F" w:rsidRPr="00DB6D42" w:rsidRDefault="00B32B9F" w:rsidP="00BB5FF5">
            <w:pPr>
              <w:keepNext/>
              <w:adjustRightInd w:val="0"/>
              <w:spacing w:after="0"/>
              <w:jc w:val="center"/>
              <w:rPr>
                <w:rFonts w:cs="Arial"/>
                <w:color w:val="000000"/>
                <w:sz w:val="18"/>
                <w:szCs w:val="18"/>
                <w:lang w:val="en-US"/>
              </w:rPr>
            </w:pPr>
          </w:p>
        </w:tc>
        <w:tc>
          <w:tcPr>
            <w:tcW w:w="1617" w:type="dxa"/>
            <w:shd w:val="clear" w:color="auto" w:fill="FFFFFF"/>
          </w:tcPr>
          <w:p w14:paraId="61C5030B"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5E12AD50" w14:textId="77777777" w:rsidR="00B32B9F" w:rsidRPr="00DB6D42" w:rsidRDefault="00B32B9F" w:rsidP="00BB5FF5">
            <w:pPr>
              <w:keepNext/>
              <w:adjustRightInd w:val="0"/>
              <w:spacing w:after="0"/>
              <w:jc w:val="center"/>
              <w:rPr>
                <w:rFonts w:cs="Arial"/>
                <w:color w:val="000000"/>
                <w:sz w:val="18"/>
                <w:szCs w:val="18"/>
                <w:lang w:val="en-US"/>
              </w:rPr>
            </w:pPr>
          </w:p>
        </w:tc>
      </w:tr>
      <w:tr w:rsidR="00B32B9F" w:rsidRPr="00DB6D42" w14:paraId="2C77A660" w14:textId="77777777" w:rsidTr="009B032C">
        <w:trPr>
          <w:cantSplit/>
          <w:trHeight w:val="90"/>
          <w:tblHeader/>
          <w:jc w:val="center"/>
        </w:trPr>
        <w:tc>
          <w:tcPr>
            <w:tcW w:w="4266" w:type="dxa"/>
            <w:shd w:val="clear" w:color="auto" w:fill="FFFFFF"/>
            <w:vAlign w:val="center"/>
          </w:tcPr>
          <w:p w14:paraId="5DF71018" w14:textId="77777777" w:rsidR="00B32B9F" w:rsidRPr="00DB6D42" w:rsidRDefault="00B32B9F" w:rsidP="00BB5FF5">
            <w:pPr>
              <w:keepNext/>
              <w:adjustRightInd w:val="0"/>
              <w:spacing w:after="0"/>
              <w:rPr>
                <w:rFonts w:cs="Arial"/>
                <w:color w:val="000000"/>
                <w:sz w:val="18"/>
                <w:szCs w:val="18"/>
                <w:lang w:val="en-US"/>
              </w:rPr>
            </w:pPr>
            <w:r w:rsidRPr="00DB6D42">
              <w:rPr>
                <w:rFonts w:cs="Arial"/>
                <w:color w:val="000000"/>
                <w:sz w:val="18"/>
                <w:szCs w:val="18"/>
                <w:lang w:val="en-US"/>
              </w:rPr>
              <w:t>Total white blood cells, 10/mm</w:t>
            </w:r>
            <w:r w:rsidRPr="00DB6D42">
              <w:rPr>
                <w:rFonts w:cs="Arial"/>
                <w:color w:val="000000"/>
                <w:sz w:val="18"/>
                <w:szCs w:val="18"/>
                <w:vertAlign w:val="superscript"/>
                <w:lang w:val="en-US"/>
              </w:rPr>
              <w:t>3</w:t>
            </w:r>
            <w:r w:rsidRPr="00DB6D42">
              <w:rPr>
                <w:rFonts w:cs="Arial"/>
                <w:color w:val="000000"/>
                <w:sz w:val="18"/>
                <w:szCs w:val="18"/>
                <w:lang w:val="en-US"/>
              </w:rPr>
              <w:t>, mean (SD)</w:t>
            </w:r>
          </w:p>
        </w:tc>
        <w:tc>
          <w:tcPr>
            <w:tcW w:w="1617" w:type="dxa"/>
            <w:shd w:val="clear" w:color="auto" w:fill="FFFFFF"/>
          </w:tcPr>
          <w:p w14:paraId="6A315A9C"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5538</w:t>
            </w:r>
            <w:r w:rsidR="00BF2C53" w:rsidRPr="00DB6D42">
              <w:rPr>
                <w:rFonts w:cs="Arial"/>
                <w:color w:val="000000"/>
                <w:sz w:val="18"/>
                <w:szCs w:val="18"/>
                <w:lang w:val="en-US"/>
              </w:rPr>
              <w:t>·</w:t>
            </w:r>
            <w:r w:rsidRPr="00DB6D42">
              <w:rPr>
                <w:rFonts w:cs="Arial"/>
                <w:color w:val="000000"/>
                <w:sz w:val="18"/>
                <w:szCs w:val="18"/>
                <w:lang w:val="en-US"/>
              </w:rPr>
              <w:t>3 (1352</w:t>
            </w:r>
            <w:r w:rsidR="00BF2C53" w:rsidRPr="00DB6D42">
              <w:rPr>
                <w:rFonts w:cs="Arial"/>
                <w:color w:val="000000"/>
                <w:sz w:val="18"/>
                <w:szCs w:val="18"/>
                <w:lang w:val="en-US"/>
              </w:rPr>
              <w:t>·</w:t>
            </w:r>
            <w:r w:rsidRPr="00DB6D42">
              <w:rPr>
                <w:rFonts w:cs="Arial"/>
                <w:color w:val="000000"/>
                <w:sz w:val="18"/>
                <w:szCs w:val="18"/>
                <w:lang w:val="en-US"/>
              </w:rPr>
              <w:t>2)</w:t>
            </w:r>
          </w:p>
        </w:tc>
        <w:tc>
          <w:tcPr>
            <w:tcW w:w="1618" w:type="dxa"/>
            <w:shd w:val="clear" w:color="auto" w:fill="FFFFFF"/>
          </w:tcPr>
          <w:p w14:paraId="026DF01D"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5235</w:t>
            </w:r>
            <w:r w:rsidR="00BF2C53" w:rsidRPr="00DB6D42">
              <w:rPr>
                <w:rFonts w:cs="Arial"/>
                <w:color w:val="000000"/>
                <w:sz w:val="18"/>
                <w:szCs w:val="18"/>
                <w:lang w:val="en-US"/>
              </w:rPr>
              <w:t>·</w:t>
            </w:r>
            <w:r w:rsidRPr="00DB6D42">
              <w:rPr>
                <w:rFonts w:cs="Arial"/>
                <w:color w:val="000000"/>
                <w:sz w:val="18"/>
                <w:szCs w:val="18"/>
                <w:lang w:val="en-US"/>
              </w:rPr>
              <w:t>4 (847</w:t>
            </w:r>
            <w:r w:rsidR="00BF2C53" w:rsidRPr="00DB6D42">
              <w:rPr>
                <w:rFonts w:cs="Arial"/>
                <w:color w:val="000000"/>
                <w:sz w:val="18"/>
                <w:szCs w:val="18"/>
                <w:lang w:val="en-US"/>
              </w:rPr>
              <w:t>·</w:t>
            </w:r>
            <w:r w:rsidRPr="00DB6D42">
              <w:rPr>
                <w:rFonts w:cs="Arial"/>
                <w:color w:val="000000"/>
                <w:sz w:val="18"/>
                <w:szCs w:val="18"/>
                <w:lang w:val="en-US"/>
              </w:rPr>
              <w:t>6)</w:t>
            </w:r>
          </w:p>
        </w:tc>
        <w:tc>
          <w:tcPr>
            <w:tcW w:w="1617" w:type="dxa"/>
            <w:shd w:val="clear" w:color="auto" w:fill="FFFFFF"/>
          </w:tcPr>
          <w:p w14:paraId="4EA1290E"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5619</w:t>
            </w:r>
            <w:r w:rsidR="00BF2C53" w:rsidRPr="00DB6D42">
              <w:rPr>
                <w:rFonts w:cs="Arial"/>
                <w:color w:val="000000"/>
                <w:sz w:val="18"/>
                <w:szCs w:val="18"/>
                <w:lang w:val="en-US"/>
              </w:rPr>
              <w:t>·</w:t>
            </w:r>
            <w:r w:rsidRPr="00DB6D42">
              <w:rPr>
                <w:rFonts w:cs="Arial"/>
                <w:color w:val="000000"/>
                <w:sz w:val="18"/>
                <w:szCs w:val="18"/>
                <w:lang w:val="en-US"/>
              </w:rPr>
              <w:t>6 (1286</w:t>
            </w:r>
            <w:r w:rsidR="00BF2C53" w:rsidRPr="00DB6D42">
              <w:rPr>
                <w:rFonts w:cs="Arial"/>
                <w:color w:val="000000"/>
                <w:sz w:val="18"/>
                <w:szCs w:val="18"/>
                <w:lang w:val="en-US"/>
              </w:rPr>
              <w:t>·</w:t>
            </w:r>
            <w:r w:rsidRPr="00DB6D42">
              <w:rPr>
                <w:rFonts w:cs="Arial"/>
                <w:color w:val="000000"/>
                <w:sz w:val="18"/>
                <w:szCs w:val="18"/>
                <w:lang w:val="en-US"/>
              </w:rPr>
              <w:t>1)</w:t>
            </w:r>
          </w:p>
        </w:tc>
        <w:tc>
          <w:tcPr>
            <w:tcW w:w="1618" w:type="dxa"/>
            <w:shd w:val="clear" w:color="auto" w:fill="FFFFFF"/>
          </w:tcPr>
          <w:p w14:paraId="17B0D17C"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5413</w:t>
            </w:r>
            <w:r w:rsidR="00BF2C53" w:rsidRPr="00DB6D42">
              <w:rPr>
                <w:rFonts w:cs="Arial"/>
                <w:color w:val="000000"/>
                <w:sz w:val="18"/>
                <w:szCs w:val="18"/>
                <w:lang w:val="en-US"/>
              </w:rPr>
              <w:t>·</w:t>
            </w:r>
            <w:r w:rsidRPr="00DB6D42">
              <w:rPr>
                <w:rFonts w:cs="Arial"/>
                <w:color w:val="000000"/>
                <w:sz w:val="18"/>
                <w:szCs w:val="18"/>
                <w:lang w:val="en-US"/>
              </w:rPr>
              <w:t>3 (1285</w:t>
            </w:r>
            <w:r w:rsidR="00BF2C53" w:rsidRPr="00DB6D42">
              <w:rPr>
                <w:rFonts w:cs="Arial"/>
                <w:color w:val="000000"/>
                <w:sz w:val="18"/>
                <w:szCs w:val="18"/>
                <w:lang w:val="en-US"/>
              </w:rPr>
              <w:t>·</w:t>
            </w:r>
            <w:r w:rsidRPr="00DB6D42">
              <w:rPr>
                <w:rFonts w:cs="Arial"/>
                <w:color w:val="000000"/>
                <w:sz w:val="18"/>
                <w:szCs w:val="18"/>
                <w:lang w:val="en-US"/>
              </w:rPr>
              <w:t>3)</w:t>
            </w:r>
          </w:p>
        </w:tc>
        <w:tc>
          <w:tcPr>
            <w:tcW w:w="1617" w:type="dxa"/>
            <w:shd w:val="clear" w:color="auto" w:fill="FFFFFF"/>
          </w:tcPr>
          <w:p w14:paraId="756152E4"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5571</w:t>
            </w:r>
            <w:r w:rsidR="00BF2C53" w:rsidRPr="00DB6D42">
              <w:rPr>
                <w:rFonts w:cs="Arial"/>
                <w:color w:val="000000"/>
                <w:sz w:val="18"/>
                <w:szCs w:val="18"/>
                <w:lang w:val="en-US"/>
              </w:rPr>
              <w:t>·</w:t>
            </w:r>
            <w:r w:rsidRPr="00DB6D42">
              <w:rPr>
                <w:rFonts w:cs="Arial"/>
                <w:color w:val="000000"/>
                <w:sz w:val="18"/>
                <w:szCs w:val="18"/>
                <w:lang w:val="en-US"/>
              </w:rPr>
              <w:t>1 (1139</w:t>
            </w:r>
            <w:r w:rsidR="00BF2C53" w:rsidRPr="00DB6D42">
              <w:rPr>
                <w:rFonts w:cs="Arial"/>
                <w:color w:val="000000"/>
                <w:sz w:val="18"/>
                <w:szCs w:val="18"/>
                <w:lang w:val="en-US"/>
              </w:rPr>
              <w:t>·</w:t>
            </w:r>
            <w:r w:rsidRPr="00DB6D42">
              <w:rPr>
                <w:rFonts w:cs="Arial"/>
                <w:color w:val="000000"/>
                <w:sz w:val="18"/>
                <w:szCs w:val="18"/>
                <w:lang w:val="en-US"/>
              </w:rPr>
              <w:t>7)</w:t>
            </w:r>
          </w:p>
        </w:tc>
        <w:tc>
          <w:tcPr>
            <w:tcW w:w="1618" w:type="dxa"/>
            <w:shd w:val="clear" w:color="auto" w:fill="FFFFFF"/>
          </w:tcPr>
          <w:p w14:paraId="31B5F4A8"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5473</w:t>
            </w:r>
            <w:r w:rsidR="00BF2C53" w:rsidRPr="00DB6D42">
              <w:rPr>
                <w:rFonts w:cs="Arial"/>
                <w:color w:val="000000"/>
                <w:sz w:val="18"/>
                <w:szCs w:val="18"/>
                <w:lang w:val="en-US"/>
              </w:rPr>
              <w:t>·</w:t>
            </w:r>
            <w:r w:rsidRPr="00DB6D42">
              <w:rPr>
                <w:rFonts w:cs="Arial"/>
                <w:color w:val="000000"/>
                <w:sz w:val="18"/>
                <w:szCs w:val="18"/>
                <w:lang w:val="en-US"/>
              </w:rPr>
              <w:t>6 (1191</w:t>
            </w:r>
            <w:r w:rsidR="00BF2C53" w:rsidRPr="00DB6D42">
              <w:rPr>
                <w:rFonts w:cs="Arial"/>
                <w:color w:val="000000"/>
                <w:sz w:val="18"/>
                <w:szCs w:val="18"/>
                <w:lang w:val="en-US"/>
              </w:rPr>
              <w:t>·</w:t>
            </w:r>
            <w:r w:rsidRPr="00DB6D42">
              <w:rPr>
                <w:rFonts w:cs="Arial"/>
                <w:color w:val="000000"/>
                <w:sz w:val="18"/>
                <w:szCs w:val="18"/>
                <w:lang w:val="en-US"/>
              </w:rPr>
              <w:t>7)</w:t>
            </w:r>
          </w:p>
        </w:tc>
      </w:tr>
      <w:tr w:rsidR="00B32B9F" w:rsidRPr="00DB6D42" w14:paraId="103A86CE" w14:textId="77777777" w:rsidTr="009B032C">
        <w:trPr>
          <w:cantSplit/>
          <w:trHeight w:val="90"/>
          <w:tblHeader/>
          <w:jc w:val="center"/>
        </w:trPr>
        <w:tc>
          <w:tcPr>
            <w:tcW w:w="4266" w:type="dxa"/>
            <w:shd w:val="clear" w:color="auto" w:fill="FFFFFF"/>
            <w:vAlign w:val="center"/>
          </w:tcPr>
          <w:p w14:paraId="05368672" w14:textId="77777777" w:rsidR="00B32B9F" w:rsidRPr="00DB6D42" w:rsidRDefault="00B32B9F" w:rsidP="00BB5FF5">
            <w:pPr>
              <w:keepNext/>
              <w:adjustRightInd w:val="0"/>
              <w:spacing w:after="0"/>
              <w:rPr>
                <w:rFonts w:cs="Arial"/>
                <w:color w:val="000000"/>
                <w:sz w:val="18"/>
                <w:szCs w:val="18"/>
                <w:lang w:val="en-US"/>
              </w:rPr>
            </w:pPr>
            <w:r w:rsidRPr="00DB6D42">
              <w:rPr>
                <w:rFonts w:cs="Arial"/>
                <w:color w:val="000000"/>
                <w:sz w:val="18"/>
                <w:szCs w:val="18"/>
                <w:lang w:val="en-US"/>
              </w:rPr>
              <w:t>Neutrophils, 10/mm</w:t>
            </w:r>
            <w:r w:rsidRPr="00DB6D42">
              <w:rPr>
                <w:rFonts w:cs="Arial"/>
                <w:color w:val="000000"/>
                <w:sz w:val="18"/>
                <w:szCs w:val="18"/>
                <w:vertAlign w:val="superscript"/>
                <w:lang w:val="en-US"/>
              </w:rPr>
              <w:t>3</w:t>
            </w:r>
            <w:r w:rsidRPr="00DB6D42">
              <w:rPr>
                <w:rFonts w:cs="Arial"/>
                <w:color w:val="000000"/>
                <w:sz w:val="18"/>
                <w:szCs w:val="18"/>
                <w:lang w:val="en-US"/>
              </w:rPr>
              <w:t>, mean (SD)</w:t>
            </w:r>
          </w:p>
        </w:tc>
        <w:tc>
          <w:tcPr>
            <w:tcW w:w="1617" w:type="dxa"/>
            <w:shd w:val="clear" w:color="auto" w:fill="FFFFFF"/>
          </w:tcPr>
          <w:p w14:paraId="17D08787"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3134</w:t>
            </w:r>
            <w:r w:rsidR="00BF2C53" w:rsidRPr="00DB6D42">
              <w:rPr>
                <w:rFonts w:cs="Arial"/>
                <w:color w:val="000000"/>
                <w:sz w:val="18"/>
                <w:szCs w:val="18"/>
                <w:lang w:val="en-US"/>
              </w:rPr>
              <w:t>·</w:t>
            </w:r>
            <w:r w:rsidRPr="00DB6D42">
              <w:rPr>
                <w:rFonts w:cs="Arial"/>
                <w:color w:val="000000"/>
                <w:sz w:val="18"/>
                <w:szCs w:val="18"/>
                <w:lang w:val="en-US"/>
              </w:rPr>
              <w:t>8 (1003</w:t>
            </w:r>
            <w:r w:rsidR="00BF2C53" w:rsidRPr="00DB6D42">
              <w:rPr>
                <w:rFonts w:cs="Arial"/>
                <w:color w:val="000000"/>
                <w:sz w:val="18"/>
                <w:szCs w:val="18"/>
                <w:lang w:val="en-US"/>
              </w:rPr>
              <w:t>·</w:t>
            </w:r>
            <w:r w:rsidRPr="00DB6D42">
              <w:rPr>
                <w:rFonts w:cs="Arial"/>
                <w:color w:val="000000"/>
                <w:sz w:val="18"/>
                <w:szCs w:val="18"/>
                <w:lang w:val="en-US"/>
              </w:rPr>
              <w:t>2)</w:t>
            </w:r>
          </w:p>
        </w:tc>
        <w:tc>
          <w:tcPr>
            <w:tcW w:w="1618" w:type="dxa"/>
            <w:shd w:val="clear" w:color="auto" w:fill="FFFFFF"/>
          </w:tcPr>
          <w:p w14:paraId="35EBFDCA"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2849</w:t>
            </w:r>
            <w:r w:rsidR="00BF2C53" w:rsidRPr="00DB6D42">
              <w:rPr>
                <w:rFonts w:cs="Arial"/>
                <w:color w:val="000000"/>
                <w:sz w:val="18"/>
                <w:szCs w:val="18"/>
                <w:lang w:val="en-US"/>
              </w:rPr>
              <w:t>·</w:t>
            </w:r>
            <w:r w:rsidRPr="00DB6D42">
              <w:rPr>
                <w:rFonts w:cs="Arial"/>
                <w:color w:val="000000"/>
                <w:sz w:val="18"/>
                <w:szCs w:val="18"/>
                <w:lang w:val="en-US"/>
              </w:rPr>
              <w:t>2 (699</w:t>
            </w:r>
            <w:r w:rsidR="00BF2C53" w:rsidRPr="00DB6D42">
              <w:rPr>
                <w:rFonts w:cs="Arial"/>
                <w:color w:val="000000"/>
                <w:sz w:val="18"/>
                <w:szCs w:val="18"/>
                <w:lang w:val="en-US"/>
              </w:rPr>
              <w:t>·</w:t>
            </w:r>
            <w:r w:rsidRPr="00DB6D42">
              <w:rPr>
                <w:rFonts w:cs="Arial"/>
                <w:color w:val="000000"/>
                <w:sz w:val="18"/>
                <w:szCs w:val="18"/>
                <w:lang w:val="en-US"/>
              </w:rPr>
              <w:t>4)</w:t>
            </w:r>
          </w:p>
        </w:tc>
        <w:tc>
          <w:tcPr>
            <w:tcW w:w="1617" w:type="dxa"/>
            <w:shd w:val="clear" w:color="auto" w:fill="FFFFFF"/>
          </w:tcPr>
          <w:p w14:paraId="39740D9E"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3127</w:t>
            </w:r>
            <w:r w:rsidR="00BF2C53" w:rsidRPr="00DB6D42">
              <w:rPr>
                <w:rFonts w:cs="Arial"/>
                <w:color w:val="000000"/>
                <w:sz w:val="18"/>
                <w:szCs w:val="18"/>
                <w:lang w:val="en-US"/>
              </w:rPr>
              <w:t>·</w:t>
            </w:r>
            <w:r w:rsidRPr="00DB6D42">
              <w:rPr>
                <w:rFonts w:cs="Arial"/>
                <w:color w:val="000000"/>
                <w:sz w:val="18"/>
                <w:szCs w:val="18"/>
                <w:lang w:val="en-US"/>
              </w:rPr>
              <w:t>4 (901</w:t>
            </w:r>
            <w:r w:rsidR="00BF2C53" w:rsidRPr="00DB6D42">
              <w:rPr>
                <w:rFonts w:cs="Arial"/>
                <w:color w:val="000000"/>
                <w:sz w:val="18"/>
                <w:szCs w:val="18"/>
                <w:lang w:val="en-US"/>
              </w:rPr>
              <w:t>·</w:t>
            </w:r>
            <w:r w:rsidRPr="00DB6D42">
              <w:rPr>
                <w:rFonts w:cs="Arial"/>
                <w:color w:val="000000"/>
                <w:sz w:val="18"/>
                <w:szCs w:val="18"/>
                <w:lang w:val="en-US"/>
              </w:rPr>
              <w:t>5)</w:t>
            </w:r>
          </w:p>
        </w:tc>
        <w:tc>
          <w:tcPr>
            <w:tcW w:w="1618" w:type="dxa"/>
            <w:shd w:val="clear" w:color="auto" w:fill="FFFFFF"/>
          </w:tcPr>
          <w:p w14:paraId="343B3B12"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3038</w:t>
            </w:r>
            <w:r w:rsidR="00BF2C53" w:rsidRPr="00DB6D42">
              <w:rPr>
                <w:rFonts w:cs="Arial"/>
                <w:color w:val="000000"/>
                <w:sz w:val="18"/>
                <w:szCs w:val="18"/>
                <w:lang w:val="en-US"/>
              </w:rPr>
              <w:t>·</w:t>
            </w:r>
            <w:r w:rsidRPr="00DB6D42">
              <w:rPr>
                <w:rFonts w:cs="Arial"/>
                <w:color w:val="000000"/>
                <w:sz w:val="18"/>
                <w:szCs w:val="18"/>
                <w:lang w:val="en-US"/>
              </w:rPr>
              <w:t>8 (898</w:t>
            </w:r>
            <w:r w:rsidR="00BF2C53" w:rsidRPr="00DB6D42">
              <w:rPr>
                <w:rFonts w:cs="Arial"/>
                <w:color w:val="000000"/>
                <w:sz w:val="18"/>
                <w:szCs w:val="18"/>
                <w:lang w:val="en-US"/>
              </w:rPr>
              <w:t>·</w:t>
            </w:r>
            <w:r w:rsidRPr="00DB6D42">
              <w:rPr>
                <w:rFonts w:cs="Arial"/>
                <w:color w:val="000000"/>
                <w:sz w:val="18"/>
                <w:szCs w:val="18"/>
                <w:lang w:val="en-US"/>
              </w:rPr>
              <w:t>9)</w:t>
            </w:r>
          </w:p>
        </w:tc>
        <w:tc>
          <w:tcPr>
            <w:tcW w:w="1617" w:type="dxa"/>
            <w:shd w:val="clear" w:color="auto" w:fill="FFFFFF"/>
          </w:tcPr>
          <w:p w14:paraId="5F55DEC1"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3244</w:t>
            </w:r>
            <w:r w:rsidR="00BF2C53" w:rsidRPr="00DB6D42">
              <w:rPr>
                <w:rFonts w:cs="Arial"/>
                <w:color w:val="000000"/>
                <w:sz w:val="18"/>
                <w:szCs w:val="18"/>
                <w:lang w:val="en-US"/>
              </w:rPr>
              <w:t>·</w:t>
            </w:r>
            <w:r w:rsidRPr="00DB6D42">
              <w:rPr>
                <w:rFonts w:cs="Arial"/>
                <w:color w:val="000000"/>
                <w:sz w:val="18"/>
                <w:szCs w:val="18"/>
                <w:lang w:val="en-US"/>
              </w:rPr>
              <w:t>8 (1120</w:t>
            </w:r>
            <w:r w:rsidR="00BF2C53" w:rsidRPr="00DB6D42">
              <w:rPr>
                <w:rFonts w:cs="Arial"/>
                <w:color w:val="000000"/>
                <w:sz w:val="18"/>
                <w:szCs w:val="18"/>
                <w:lang w:val="en-US"/>
              </w:rPr>
              <w:t>·</w:t>
            </w:r>
            <w:r w:rsidRPr="00DB6D42">
              <w:rPr>
                <w:rFonts w:cs="Arial"/>
                <w:color w:val="000000"/>
                <w:sz w:val="18"/>
                <w:szCs w:val="18"/>
                <w:lang w:val="en-US"/>
              </w:rPr>
              <w:t>9)</w:t>
            </w:r>
          </w:p>
        </w:tc>
        <w:tc>
          <w:tcPr>
            <w:tcW w:w="1618" w:type="dxa"/>
            <w:shd w:val="clear" w:color="auto" w:fill="FFFFFF"/>
          </w:tcPr>
          <w:p w14:paraId="7C4F7B4F"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3076</w:t>
            </w:r>
            <w:r w:rsidR="00BF2C53" w:rsidRPr="00DB6D42">
              <w:rPr>
                <w:rFonts w:cs="Arial"/>
                <w:color w:val="000000"/>
                <w:sz w:val="18"/>
                <w:szCs w:val="18"/>
                <w:lang w:val="en-US"/>
              </w:rPr>
              <w:t>·</w:t>
            </w:r>
            <w:r w:rsidRPr="00DB6D42">
              <w:rPr>
                <w:rFonts w:cs="Arial"/>
                <w:color w:val="000000"/>
                <w:sz w:val="18"/>
                <w:szCs w:val="18"/>
                <w:lang w:val="en-US"/>
              </w:rPr>
              <w:t>7 (934</w:t>
            </w:r>
            <w:r w:rsidR="00BF2C53" w:rsidRPr="00DB6D42">
              <w:rPr>
                <w:rFonts w:cs="Arial"/>
                <w:color w:val="000000"/>
                <w:sz w:val="18"/>
                <w:szCs w:val="18"/>
                <w:lang w:val="en-US"/>
              </w:rPr>
              <w:t>·</w:t>
            </w:r>
            <w:r w:rsidRPr="00DB6D42">
              <w:rPr>
                <w:rFonts w:cs="Arial"/>
                <w:color w:val="000000"/>
                <w:sz w:val="18"/>
                <w:szCs w:val="18"/>
                <w:lang w:val="en-US"/>
              </w:rPr>
              <w:t>3)</w:t>
            </w:r>
          </w:p>
        </w:tc>
      </w:tr>
      <w:tr w:rsidR="00B32B9F" w:rsidRPr="00DB6D42" w14:paraId="799314F0" w14:textId="77777777" w:rsidTr="009B032C">
        <w:trPr>
          <w:cantSplit/>
          <w:trHeight w:val="90"/>
          <w:tblHeader/>
          <w:jc w:val="center"/>
        </w:trPr>
        <w:tc>
          <w:tcPr>
            <w:tcW w:w="4266" w:type="dxa"/>
            <w:shd w:val="clear" w:color="auto" w:fill="FFFFFF"/>
            <w:vAlign w:val="center"/>
          </w:tcPr>
          <w:p w14:paraId="30523F1D" w14:textId="77777777" w:rsidR="00B32B9F" w:rsidRPr="00DB6D42" w:rsidRDefault="00B32B9F" w:rsidP="00BB5FF5">
            <w:pPr>
              <w:keepNext/>
              <w:adjustRightInd w:val="0"/>
              <w:spacing w:after="0"/>
              <w:rPr>
                <w:rFonts w:cs="Arial"/>
                <w:color w:val="000000"/>
                <w:sz w:val="18"/>
                <w:szCs w:val="18"/>
                <w:lang w:val="en-US"/>
              </w:rPr>
            </w:pPr>
            <w:r w:rsidRPr="00DB6D42">
              <w:rPr>
                <w:rFonts w:cs="Arial"/>
                <w:color w:val="000000"/>
                <w:sz w:val="18"/>
                <w:szCs w:val="18"/>
                <w:lang w:val="en-US"/>
              </w:rPr>
              <w:t>Lymphocytes, 10/mm</w:t>
            </w:r>
            <w:r w:rsidRPr="00DB6D42">
              <w:rPr>
                <w:rFonts w:cs="Arial"/>
                <w:color w:val="000000"/>
                <w:sz w:val="18"/>
                <w:szCs w:val="18"/>
                <w:vertAlign w:val="superscript"/>
                <w:lang w:val="en-US"/>
              </w:rPr>
              <w:t>3</w:t>
            </w:r>
            <w:r w:rsidRPr="00DB6D42">
              <w:rPr>
                <w:rFonts w:cs="Arial"/>
                <w:color w:val="000000"/>
                <w:sz w:val="18"/>
                <w:szCs w:val="18"/>
                <w:lang w:val="en-US"/>
              </w:rPr>
              <w:t>, mean (SD)</w:t>
            </w:r>
          </w:p>
        </w:tc>
        <w:tc>
          <w:tcPr>
            <w:tcW w:w="1617" w:type="dxa"/>
            <w:shd w:val="clear" w:color="auto" w:fill="FFFFFF"/>
          </w:tcPr>
          <w:p w14:paraId="5E4C10CD"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1988</w:t>
            </w:r>
            <w:r w:rsidR="00BF2C53" w:rsidRPr="00DB6D42">
              <w:rPr>
                <w:rFonts w:cs="Arial"/>
                <w:color w:val="000000"/>
                <w:sz w:val="18"/>
                <w:szCs w:val="18"/>
                <w:lang w:val="en-US"/>
              </w:rPr>
              <w:t>·</w:t>
            </w:r>
            <w:r w:rsidRPr="00DB6D42">
              <w:rPr>
                <w:rFonts w:cs="Arial"/>
                <w:color w:val="000000"/>
                <w:sz w:val="18"/>
                <w:szCs w:val="18"/>
                <w:lang w:val="en-US"/>
              </w:rPr>
              <w:t>6 (634</w:t>
            </w:r>
            <w:r w:rsidR="00BF2C53" w:rsidRPr="00DB6D42">
              <w:rPr>
                <w:rFonts w:cs="Arial"/>
                <w:color w:val="000000"/>
                <w:sz w:val="18"/>
                <w:szCs w:val="18"/>
                <w:lang w:val="en-US"/>
              </w:rPr>
              <w:t>·</w:t>
            </w:r>
            <w:r w:rsidRPr="00DB6D42">
              <w:rPr>
                <w:rFonts w:cs="Arial"/>
                <w:color w:val="000000"/>
                <w:sz w:val="18"/>
                <w:szCs w:val="18"/>
                <w:lang w:val="en-US"/>
              </w:rPr>
              <w:t>4)</w:t>
            </w:r>
          </w:p>
        </w:tc>
        <w:tc>
          <w:tcPr>
            <w:tcW w:w="1618" w:type="dxa"/>
            <w:shd w:val="clear" w:color="auto" w:fill="FFFFFF"/>
          </w:tcPr>
          <w:p w14:paraId="272D7D70"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2046</w:t>
            </w:r>
            <w:r w:rsidR="00BF2C53" w:rsidRPr="00DB6D42">
              <w:rPr>
                <w:rFonts w:cs="Arial"/>
                <w:color w:val="000000"/>
                <w:sz w:val="18"/>
                <w:szCs w:val="18"/>
                <w:lang w:val="en-US"/>
              </w:rPr>
              <w:t>·</w:t>
            </w:r>
            <w:r w:rsidRPr="00DB6D42">
              <w:rPr>
                <w:rFonts w:cs="Arial"/>
                <w:color w:val="000000"/>
                <w:sz w:val="18"/>
                <w:szCs w:val="18"/>
                <w:lang w:val="en-US"/>
              </w:rPr>
              <w:t>6 (487</w:t>
            </w:r>
            <w:r w:rsidR="00BF2C53" w:rsidRPr="00DB6D42">
              <w:rPr>
                <w:rFonts w:cs="Arial"/>
                <w:color w:val="000000"/>
                <w:sz w:val="18"/>
                <w:szCs w:val="18"/>
                <w:lang w:val="en-US"/>
              </w:rPr>
              <w:t>·</w:t>
            </w:r>
            <w:r w:rsidRPr="00DB6D42">
              <w:rPr>
                <w:rFonts w:cs="Arial"/>
                <w:color w:val="000000"/>
                <w:sz w:val="18"/>
                <w:szCs w:val="18"/>
                <w:lang w:val="en-US"/>
              </w:rPr>
              <w:t>0)</w:t>
            </w:r>
          </w:p>
        </w:tc>
        <w:tc>
          <w:tcPr>
            <w:tcW w:w="1617" w:type="dxa"/>
            <w:shd w:val="clear" w:color="auto" w:fill="FFFFFF"/>
          </w:tcPr>
          <w:p w14:paraId="1731F9EC"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2058</w:t>
            </w:r>
            <w:r w:rsidR="00BF2C53" w:rsidRPr="00DB6D42">
              <w:rPr>
                <w:rFonts w:cs="Arial"/>
                <w:color w:val="000000"/>
                <w:sz w:val="18"/>
                <w:szCs w:val="18"/>
                <w:lang w:val="en-US"/>
              </w:rPr>
              <w:t>·</w:t>
            </w:r>
            <w:r w:rsidRPr="00DB6D42">
              <w:rPr>
                <w:rFonts w:cs="Arial"/>
                <w:color w:val="000000"/>
                <w:sz w:val="18"/>
                <w:szCs w:val="18"/>
                <w:lang w:val="en-US"/>
              </w:rPr>
              <w:t>5 (660</w:t>
            </w:r>
            <w:r w:rsidR="00BF2C53" w:rsidRPr="00DB6D42">
              <w:rPr>
                <w:rFonts w:cs="Arial"/>
                <w:color w:val="000000"/>
                <w:sz w:val="18"/>
                <w:szCs w:val="18"/>
                <w:lang w:val="en-US"/>
              </w:rPr>
              <w:t>·</w:t>
            </w:r>
            <w:r w:rsidRPr="00DB6D42">
              <w:rPr>
                <w:rFonts w:cs="Arial"/>
                <w:color w:val="000000"/>
                <w:sz w:val="18"/>
                <w:szCs w:val="18"/>
                <w:lang w:val="en-US"/>
              </w:rPr>
              <w:t>0)</w:t>
            </w:r>
          </w:p>
        </w:tc>
        <w:tc>
          <w:tcPr>
            <w:tcW w:w="1618" w:type="dxa"/>
            <w:shd w:val="clear" w:color="auto" w:fill="FFFFFF"/>
          </w:tcPr>
          <w:p w14:paraId="734D8A1B"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2029</w:t>
            </w:r>
            <w:r w:rsidR="00BF2C53" w:rsidRPr="00DB6D42">
              <w:rPr>
                <w:rFonts w:cs="Arial"/>
                <w:color w:val="000000"/>
                <w:sz w:val="18"/>
                <w:szCs w:val="18"/>
                <w:lang w:val="en-US"/>
              </w:rPr>
              <w:t>·</w:t>
            </w:r>
            <w:r w:rsidRPr="00DB6D42">
              <w:rPr>
                <w:rFonts w:cs="Arial"/>
                <w:color w:val="000000"/>
                <w:sz w:val="18"/>
                <w:szCs w:val="18"/>
                <w:lang w:val="en-US"/>
              </w:rPr>
              <w:t>2 (597</w:t>
            </w:r>
            <w:r w:rsidR="00BF2C53" w:rsidRPr="00DB6D42">
              <w:rPr>
                <w:rFonts w:cs="Arial"/>
                <w:color w:val="000000"/>
                <w:sz w:val="18"/>
                <w:szCs w:val="18"/>
                <w:lang w:val="en-US"/>
              </w:rPr>
              <w:t>·</w:t>
            </w:r>
            <w:r w:rsidRPr="00DB6D42">
              <w:rPr>
                <w:rFonts w:cs="Arial"/>
                <w:color w:val="000000"/>
                <w:sz w:val="18"/>
                <w:szCs w:val="18"/>
                <w:lang w:val="en-US"/>
              </w:rPr>
              <w:t>9)</w:t>
            </w:r>
          </w:p>
        </w:tc>
        <w:tc>
          <w:tcPr>
            <w:tcW w:w="1617" w:type="dxa"/>
            <w:shd w:val="clear" w:color="auto" w:fill="FFFFFF"/>
          </w:tcPr>
          <w:p w14:paraId="00B81091"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1998</w:t>
            </w:r>
            <w:r w:rsidR="00BF2C53" w:rsidRPr="00DB6D42">
              <w:rPr>
                <w:rFonts w:cs="Arial"/>
                <w:color w:val="000000"/>
                <w:sz w:val="18"/>
                <w:szCs w:val="18"/>
                <w:lang w:val="en-US"/>
              </w:rPr>
              <w:t>·</w:t>
            </w:r>
            <w:r w:rsidRPr="00DB6D42">
              <w:rPr>
                <w:rFonts w:cs="Arial"/>
                <w:color w:val="000000"/>
                <w:sz w:val="18"/>
                <w:szCs w:val="18"/>
                <w:lang w:val="en-US"/>
              </w:rPr>
              <w:t>9 (464</w:t>
            </w:r>
            <w:r w:rsidR="00BF2C53" w:rsidRPr="00DB6D42">
              <w:rPr>
                <w:rFonts w:cs="Arial"/>
                <w:color w:val="000000"/>
                <w:sz w:val="18"/>
                <w:szCs w:val="18"/>
                <w:lang w:val="en-US"/>
              </w:rPr>
              <w:t>·</w:t>
            </w:r>
            <w:r w:rsidRPr="00DB6D42">
              <w:rPr>
                <w:rFonts w:cs="Arial"/>
                <w:color w:val="000000"/>
                <w:sz w:val="18"/>
                <w:szCs w:val="18"/>
                <w:lang w:val="en-US"/>
              </w:rPr>
              <w:t>6)</w:t>
            </w:r>
          </w:p>
        </w:tc>
        <w:tc>
          <w:tcPr>
            <w:tcW w:w="1618" w:type="dxa"/>
            <w:shd w:val="clear" w:color="auto" w:fill="FFFFFF"/>
          </w:tcPr>
          <w:p w14:paraId="30604DBD"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2024</w:t>
            </w:r>
            <w:r w:rsidR="00BF2C53" w:rsidRPr="00DB6D42">
              <w:rPr>
                <w:rFonts w:cs="Arial"/>
                <w:color w:val="000000"/>
                <w:sz w:val="18"/>
                <w:szCs w:val="18"/>
                <w:lang w:val="en-US"/>
              </w:rPr>
              <w:t>·</w:t>
            </w:r>
            <w:r w:rsidRPr="00DB6D42">
              <w:rPr>
                <w:rFonts w:cs="Arial"/>
                <w:color w:val="000000"/>
                <w:sz w:val="18"/>
                <w:szCs w:val="18"/>
                <w:lang w:val="en-US"/>
              </w:rPr>
              <w:t>5 (569</w:t>
            </w:r>
            <w:r w:rsidR="00BF2C53" w:rsidRPr="00DB6D42">
              <w:rPr>
                <w:rFonts w:cs="Arial"/>
                <w:color w:val="000000"/>
                <w:sz w:val="18"/>
                <w:szCs w:val="18"/>
                <w:lang w:val="en-US"/>
              </w:rPr>
              <w:t>·</w:t>
            </w:r>
            <w:r w:rsidRPr="00DB6D42">
              <w:rPr>
                <w:rFonts w:cs="Arial"/>
                <w:color w:val="000000"/>
                <w:sz w:val="18"/>
                <w:szCs w:val="18"/>
                <w:lang w:val="en-US"/>
              </w:rPr>
              <w:t>7)</w:t>
            </w:r>
          </w:p>
        </w:tc>
      </w:tr>
      <w:tr w:rsidR="00B32B9F" w:rsidRPr="00DB6D42" w14:paraId="070C4889" w14:textId="77777777" w:rsidTr="009B032C">
        <w:trPr>
          <w:cantSplit/>
          <w:trHeight w:val="90"/>
          <w:tblHeader/>
          <w:jc w:val="center"/>
        </w:trPr>
        <w:tc>
          <w:tcPr>
            <w:tcW w:w="4266" w:type="dxa"/>
            <w:shd w:val="clear" w:color="auto" w:fill="FFFFFF"/>
            <w:vAlign w:val="center"/>
          </w:tcPr>
          <w:p w14:paraId="1A973942" w14:textId="77777777" w:rsidR="00B32B9F" w:rsidRPr="00DB6D42" w:rsidRDefault="00B32B9F" w:rsidP="00BB5FF5">
            <w:pPr>
              <w:keepNext/>
              <w:adjustRightInd w:val="0"/>
              <w:spacing w:after="0"/>
              <w:rPr>
                <w:rFonts w:cs="Arial"/>
                <w:color w:val="000000"/>
                <w:sz w:val="18"/>
                <w:szCs w:val="18"/>
                <w:lang w:val="en-US"/>
              </w:rPr>
            </w:pPr>
          </w:p>
        </w:tc>
        <w:tc>
          <w:tcPr>
            <w:tcW w:w="1617" w:type="dxa"/>
            <w:shd w:val="clear" w:color="auto" w:fill="FFFFFF"/>
          </w:tcPr>
          <w:p w14:paraId="367C50CD"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5A34884F" w14:textId="77777777" w:rsidR="00B32B9F" w:rsidRPr="00DB6D42" w:rsidRDefault="00B32B9F" w:rsidP="00BB5FF5">
            <w:pPr>
              <w:keepNext/>
              <w:adjustRightInd w:val="0"/>
              <w:spacing w:after="0"/>
              <w:jc w:val="center"/>
              <w:rPr>
                <w:rFonts w:cs="Arial"/>
                <w:color w:val="000000"/>
                <w:sz w:val="18"/>
                <w:szCs w:val="18"/>
                <w:lang w:val="en-US"/>
              </w:rPr>
            </w:pPr>
          </w:p>
        </w:tc>
        <w:tc>
          <w:tcPr>
            <w:tcW w:w="1617" w:type="dxa"/>
            <w:shd w:val="clear" w:color="auto" w:fill="FFFFFF"/>
          </w:tcPr>
          <w:p w14:paraId="2C5E359D"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353B85A1" w14:textId="77777777" w:rsidR="00B32B9F" w:rsidRPr="00DB6D42" w:rsidRDefault="00B32B9F" w:rsidP="00BB5FF5">
            <w:pPr>
              <w:keepNext/>
              <w:adjustRightInd w:val="0"/>
              <w:spacing w:after="0"/>
              <w:jc w:val="center"/>
              <w:rPr>
                <w:rFonts w:cs="Arial"/>
                <w:color w:val="000000"/>
                <w:sz w:val="18"/>
                <w:szCs w:val="18"/>
                <w:lang w:val="en-US"/>
              </w:rPr>
            </w:pPr>
          </w:p>
        </w:tc>
        <w:tc>
          <w:tcPr>
            <w:tcW w:w="1617" w:type="dxa"/>
            <w:shd w:val="clear" w:color="auto" w:fill="FFFFFF"/>
          </w:tcPr>
          <w:p w14:paraId="478230CD"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689714F7" w14:textId="77777777" w:rsidR="00B32B9F" w:rsidRPr="00DB6D42" w:rsidRDefault="00B32B9F" w:rsidP="00BB5FF5">
            <w:pPr>
              <w:keepNext/>
              <w:adjustRightInd w:val="0"/>
              <w:spacing w:after="0"/>
              <w:jc w:val="center"/>
              <w:rPr>
                <w:rFonts w:cs="Arial"/>
                <w:color w:val="000000"/>
                <w:sz w:val="18"/>
                <w:szCs w:val="18"/>
                <w:lang w:val="en-US"/>
              </w:rPr>
            </w:pPr>
          </w:p>
        </w:tc>
      </w:tr>
      <w:tr w:rsidR="00B32B9F" w:rsidRPr="00DB6D42" w14:paraId="37DA1B06" w14:textId="77777777" w:rsidTr="009B032C">
        <w:trPr>
          <w:cantSplit/>
          <w:trHeight w:val="90"/>
          <w:tblHeader/>
          <w:jc w:val="center"/>
        </w:trPr>
        <w:tc>
          <w:tcPr>
            <w:tcW w:w="4266" w:type="dxa"/>
            <w:shd w:val="clear" w:color="auto" w:fill="FFFFFF"/>
            <w:vAlign w:val="center"/>
          </w:tcPr>
          <w:p w14:paraId="7D476C75" w14:textId="77777777" w:rsidR="00B32B9F" w:rsidRPr="00DB6D42" w:rsidRDefault="00B32B9F" w:rsidP="00BB5FF5">
            <w:pPr>
              <w:keepNext/>
              <w:adjustRightInd w:val="0"/>
              <w:spacing w:after="0"/>
              <w:rPr>
                <w:rFonts w:cs="Arial"/>
                <w:color w:val="000000"/>
                <w:sz w:val="18"/>
                <w:szCs w:val="18"/>
                <w:lang w:val="en-US"/>
              </w:rPr>
            </w:pPr>
            <w:r w:rsidRPr="00DB6D42">
              <w:rPr>
                <w:rFonts w:cs="Arial"/>
                <w:color w:val="000000"/>
                <w:sz w:val="18"/>
                <w:szCs w:val="18"/>
                <w:lang w:val="en-US"/>
              </w:rPr>
              <w:t>AST, U/L, mean (SD)</w:t>
            </w:r>
          </w:p>
        </w:tc>
        <w:tc>
          <w:tcPr>
            <w:tcW w:w="1617" w:type="dxa"/>
            <w:shd w:val="clear" w:color="auto" w:fill="FFFFFF"/>
          </w:tcPr>
          <w:p w14:paraId="3818C9A7"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20</w:t>
            </w:r>
            <w:r w:rsidR="00BF2C53" w:rsidRPr="00DB6D42">
              <w:rPr>
                <w:rFonts w:cs="Arial"/>
                <w:color w:val="000000"/>
                <w:sz w:val="18"/>
                <w:szCs w:val="18"/>
                <w:lang w:val="en-US"/>
              </w:rPr>
              <w:t>·</w:t>
            </w:r>
            <w:r w:rsidRPr="00DB6D42">
              <w:rPr>
                <w:rFonts w:cs="Arial"/>
                <w:color w:val="000000"/>
                <w:sz w:val="18"/>
                <w:szCs w:val="18"/>
                <w:lang w:val="en-US"/>
              </w:rPr>
              <w:t>5 (4</w:t>
            </w:r>
            <w:r w:rsidR="00BF2C53" w:rsidRPr="00DB6D42">
              <w:rPr>
                <w:rFonts w:cs="Arial"/>
                <w:color w:val="000000"/>
                <w:sz w:val="18"/>
                <w:szCs w:val="18"/>
                <w:lang w:val="en-US"/>
              </w:rPr>
              <w:t>·</w:t>
            </w:r>
            <w:r w:rsidRPr="00DB6D42">
              <w:rPr>
                <w:rFonts w:cs="Arial"/>
                <w:color w:val="000000"/>
                <w:sz w:val="18"/>
                <w:szCs w:val="18"/>
                <w:lang w:val="en-US"/>
              </w:rPr>
              <w:t>7)</w:t>
            </w:r>
          </w:p>
        </w:tc>
        <w:tc>
          <w:tcPr>
            <w:tcW w:w="1618" w:type="dxa"/>
            <w:shd w:val="clear" w:color="auto" w:fill="FFFFFF"/>
          </w:tcPr>
          <w:p w14:paraId="29FCDCF8"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20</w:t>
            </w:r>
            <w:r w:rsidR="00BF2C53" w:rsidRPr="00DB6D42">
              <w:rPr>
                <w:rFonts w:cs="Arial"/>
                <w:color w:val="000000"/>
                <w:sz w:val="18"/>
                <w:szCs w:val="18"/>
                <w:lang w:val="en-US"/>
              </w:rPr>
              <w:t>·</w:t>
            </w:r>
            <w:r w:rsidRPr="00DB6D42">
              <w:rPr>
                <w:rFonts w:cs="Arial"/>
                <w:color w:val="000000"/>
                <w:sz w:val="18"/>
                <w:szCs w:val="18"/>
                <w:lang w:val="en-US"/>
              </w:rPr>
              <w:t>7 (3</w:t>
            </w:r>
            <w:r w:rsidR="00BF2C53" w:rsidRPr="00DB6D42">
              <w:rPr>
                <w:rFonts w:cs="Arial"/>
                <w:color w:val="000000"/>
                <w:sz w:val="18"/>
                <w:szCs w:val="18"/>
                <w:lang w:val="en-US"/>
              </w:rPr>
              <w:t>·</w:t>
            </w:r>
            <w:r w:rsidRPr="00DB6D42">
              <w:rPr>
                <w:rFonts w:cs="Arial"/>
                <w:color w:val="000000"/>
                <w:sz w:val="18"/>
                <w:szCs w:val="18"/>
                <w:lang w:val="en-US"/>
              </w:rPr>
              <w:t>3)</w:t>
            </w:r>
          </w:p>
        </w:tc>
        <w:tc>
          <w:tcPr>
            <w:tcW w:w="1617" w:type="dxa"/>
            <w:shd w:val="clear" w:color="auto" w:fill="FFFFFF"/>
          </w:tcPr>
          <w:p w14:paraId="64B5CCA4"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21</w:t>
            </w:r>
            <w:r w:rsidR="00BF2C53" w:rsidRPr="00DB6D42">
              <w:rPr>
                <w:rFonts w:cs="Arial"/>
                <w:color w:val="000000"/>
                <w:sz w:val="18"/>
                <w:szCs w:val="18"/>
                <w:lang w:val="en-US"/>
              </w:rPr>
              <w:t>·</w:t>
            </w:r>
            <w:r w:rsidRPr="00DB6D42">
              <w:rPr>
                <w:rFonts w:cs="Arial"/>
                <w:color w:val="000000"/>
                <w:sz w:val="18"/>
                <w:szCs w:val="18"/>
                <w:lang w:val="en-US"/>
              </w:rPr>
              <w:t>7 (5</w:t>
            </w:r>
            <w:r w:rsidR="00BF2C53" w:rsidRPr="00DB6D42">
              <w:rPr>
                <w:rFonts w:cs="Arial"/>
                <w:color w:val="000000"/>
                <w:sz w:val="18"/>
                <w:szCs w:val="18"/>
                <w:lang w:val="en-US"/>
              </w:rPr>
              <w:t>·</w:t>
            </w:r>
            <w:r w:rsidRPr="00DB6D42">
              <w:rPr>
                <w:rFonts w:cs="Arial"/>
                <w:color w:val="000000"/>
                <w:sz w:val="18"/>
                <w:szCs w:val="18"/>
                <w:lang w:val="en-US"/>
              </w:rPr>
              <w:t>0)</w:t>
            </w:r>
          </w:p>
        </w:tc>
        <w:tc>
          <w:tcPr>
            <w:tcW w:w="1618" w:type="dxa"/>
            <w:shd w:val="clear" w:color="auto" w:fill="FFFFFF"/>
          </w:tcPr>
          <w:p w14:paraId="2D789269"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21</w:t>
            </w:r>
            <w:r w:rsidR="00BF2C53" w:rsidRPr="00DB6D42">
              <w:rPr>
                <w:rFonts w:cs="Arial"/>
                <w:color w:val="000000"/>
                <w:sz w:val="18"/>
                <w:szCs w:val="18"/>
                <w:lang w:val="en-US"/>
              </w:rPr>
              <w:t>·</w:t>
            </w:r>
            <w:r w:rsidRPr="00DB6D42">
              <w:rPr>
                <w:rFonts w:cs="Arial"/>
                <w:color w:val="000000"/>
                <w:sz w:val="18"/>
                <w:szCs w:val="18"/>
                <w:lang w:val="en-US"/>
              </w:rPr>
              <w:t>8 (4</w:t>
            </w:r>
            <w:r w:rsidR="00BF2C53" w:rsidRPr="00DB6D42">
              <w:rPr>
                <w:rFonts w:cs="Arial"/>
                <w:color w:val="000000"/>
                <w:sz w:val="18"/>
                <w:szCs w:val="18"/>
                <w:lang w:val="en-US"/>
              </w:rPr>
              <w:t>·</w:t>
            </w:r>
            <w:r w:rsidRPr="00DB6D42">
              <w:rPr>
                <w:rFonts w:cs="Arial"/>
                <w:color w:val="000000"/>
                <w:sz w:val="18"/>
                <w:szCs w:val="18"/>
                <w:lang w:val="en-US"/>
              </w:rPr>
              <w:t>5)</w:t>
            </w:r>
          </w:p>
        </w:tc>
        <w:tc>
          <w:tcPr>
            <w:tcW w:w="1617" w:type="dxa"/>
            <w:shd w:val="clear" w:color="auto" w:fill="FFFFFF"/>
          </w:tcPr>
          <w:p w14:paraId="05959007"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21</w:t>
            </w:r>
            <w:r w:rsidR="00BF2C53" w:rsidRPr="00DB6D42">
              <w:rPr>
                <w:rFonts w:cs="Arial"/>
                <w:color w:val="000000"/>
                <w:sz w:val="18"/>
                <w:szCs w:val="18"/>
                <w:lang w:val="en-US"/>
              </w:rPr>
              <w:t>·</w:t>
            </w:r>
            <w:r w:rsidRPr="00DB6D42">
              <w:rPr>
                <w:rFonts w:cs="Arial"/>
                <w:color w:val="000000"/>
                <w:sz w:val="18"/>
                <w:szCs w:val="18"/>
                <w:lang w:val="en-US"/>
              </w:rPr>
              <w:t>7 (4</w:t>
            </w:r>
            <w:r w:rsidR="00BF2C53" w:rsidRPr="00DB6D42">
              <w:rPr>
                <w:rFonts w:cs="Arial"/>
                <w:color w:val="000000"/>
                <w:sz w:val="18"/>
                <w:szCs w:val="18"/>
                <w:lang w:val="en-US"/>
              </w:rPr>
              <w:t>·</w:t>
            </w:r>
            <w:r w:rsidRPr="00DB6D42">
              <w:rPr>
                <w:rFonts w:cs="Arial"/>
                <w:color w:val="000000"/>
                <w:sz w:val="18"/>
                <w:szCs w:val="18"/>
                <w:lang w:val="en-US"/>
              </w:rPr>
              <w:t>0)</w:t>
            </w:r>
          </w:p>
        </w:tc>
        <w:tc>
          <w:tcPr>
            <w:tcW w:w="1618" w:type="dxa"/>
            <w:shd w:val="clear" w:color="auto" w:fill="FFFFFF"/>
          </w:tcPr>
          <w:p w14:paraId="55C313C4"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21</w:t>
            </w:r>
            <w:r w:rsidR="00BF2C53" w:rsidRPr="00DB6D42">
              <w:rPr>
                <w:rFonts w:cs="Arial"/>
                <w:color w:val="000000"/>
                <w:sz w:val="18"/>
                <w:szCs w:val="18"/>
                <w:lang w:val="en-US"/>
              </w:rPr>
              <w:t>·</w:t>
            </w:r>
            <w:r w:rsidRPr="00DB6D42">
              <w:rPr>
                <w:rFonts w:cs="Arial"/>
                <w:color w:val="000000"/>
                <w:sz w:val="18"/>
                <w:szCs w:val="18"/>
                <w:lang w:val="en-US"/>
              </w:rPr>
              <w:t>3 (4</w:t>
            </w:r>
            <w:r w:rsidR="00BF2C53" w:rsidRPr="00DB6D42">
              <w:rPr>
                <w:rFonts w:cs="Arial"/>
                <w:color w:val="000000"/>
                <w:sz w:val="18"/>
                <w:szCs w:val="18"/>
                <w:lang w:val="en-US"/>
              </w:rPr>
              <w:t>·</w:t>
            </w:r>
            <w:r w:rsidRPr="00DB6D42">
              <w:rPr>
                <w:rFonts w:cs="Arial"/>
                <w:color w:val="000000"/>
                <w:sz w:val="18"/>
                <w:szCs w:val="18"/>
                <w:lang w:val="en-US"/>
              </w:rPr>
              <w:t>3)</w:t>
            </w:r>
          </w:p>
        </w:tc>
      </w:tr>
      <w:tr w:rsidR="00B32B9F" w:rsidRPr="00DB6D42" w14:paraId="3865E668" w14:textId="77777777" w:rsidTr="009B032C">
        <w:trPr>
          <w:cantSplit/>
          <w:trHeight w:val="90"/>
          <w:tblHeader/>
          <w:jc w:val="center"/>
        </w:trPr>
        <w:tc>
          <w:tcPr>
            <w:tcW w:w="4266" w:type="dxa"/>
            <w:shd w:val="clear" w:color="auto" w:fill="FFFFFF"/>
            <w:vAlign w:val="center"/>
          </w:tcPr>
          <w:p w14:paraId="454B8055" w14:textId="77777777" w:rsidR="00B32B9F" w:rsidRPr="00DB6D42" w:rsidRDefault="00B32B9F" w:rsidP="00BB5FF5">
            <w:pPr>
              <w:keepNext/>
              <w:adjustRightInd w:val="0"/>
              <w:spacing w:after="0"/>
              <w:rPr>
                <w:rFonts w:cs="Arial"/>
                <w:color w:val="000000"/>
                <w:sz w:val="18"/>
                <w:szCs w:val="18"/>
                <w:lang w:val="en-US"/>
              </w:rPr>
            </w:pPr>
            <w:r w:rsidRPr="00DB6D42">
              <w:rPr>
                <w:rFonts w:cs="Arial"/>
                <w:color w:val="000000"/>
                <w:sz w:val="18"/>
                <w:szCs w:val="18"/>
                <w:lang w:val="en-US"/>
              </w:rPr>
              <w:t>ALT, U/L, mean (SD)</w:t>
            </w:r>
          </w:p>
        </w:tc>
        <w:tc>
          <w:tcPr>
            <w:tcW w:w="1617" w:type="dxa"/>
            <w:shd w:val="clear" w:color="auto" w:fill="FFFFFF"/>
          </w:tcPr>
          <w:p w14:paraId="7C871DD5"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21</w:t>
            </w:r>
            <w:r w:rsidR="00BF2C53" w:rsidRPr="00DB6D42">
              <w:rPr>
                <w:rFonts w:cs="Arial"/>
                <w:color w:val="000000"/>
                <w:sz w:val="18"/>
                <w:szCs w:val="18"/>
                <w:lang w:val="en-US"/>
              </w:rPr>
              <w:t>·</w:t>
            </w:r>
            <w:r w:rsidRPr="00DB6D42">
              <w:rPr>
                <w:rFonts w:cs="Arial"/>
                <w:color w:val="000000"/>
                <w:sz w:val="18"/>
                <w:szCs w:val="18"/>
                <w:lang w:val="en-US"/>
              </w:rPr>
              <w:t>0 (7</w:t>
            </w:r>
            <w:r w:rsidR="00BF2C53" w:rsidRPr="00DB6D42">
              <w:rPr>
                <w:rFonts w:cs="Arial"/>
                <w:color w:val="000000"/>
                <w:sz w:val="18"/>
                <w:szCs w:val="18"/>
                <w:lang w:val="en-US"/>
              </w:rPr>
              <w:t>·</w:t>
            </w:r>
            <w:r w:rsidRPr="00DB6D42">
              <w:rPr>
                <w:rFonts w:cs="Arial"/>
                <w:color w:val="000000"/>
                <w:sz w:val="18"/>
                <w:szCs w:val="18"/>
                <w:lang w:val="en-US"/>
              </w:rPr>
              <w:t>7)</w:t>
            </w:r>
          </w:p>
        </w:tc>
        <w:tc>
          <w:tcPr>
            <w:tcW w:w="1618" w:type="dxa"/>
            <w:shd w:val="clear" w:color="auto" w:fill="FFFFFF"/>
          </w:tcPr>
          <w:p w14:paraId="6690763A"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21</w:t>
            </w:r>
            <w:r w:rsidR="00BF2C53" w:rsidRPr="00DB6D42">
              <w:rPr>
                <w:rFonts w:cs="Arial"/>
                <w:color w:val="000000"/>
                <w:sz w:val="18"/>
                <w:szCs w:val="18"/>
                <w:lang w:val="en-US"/>
              </w:rPr>
              <w:t>·</w:t>
            </w:r>
            <w:r w:rsidRPr="00DB6D42">
              <w:rPr>
                <w:rFonts w:cs="Arial"/>
                <w:color w:val="000000"/>
                <w:sz w:val="18"/>
                <w:szCs w:val="18"/>
                <w:lang w:val="en-US"/>
              </w:rPr>
              <w:t>7 (6</w:t>
            </w:r>
            <w:r w:rsidR="00BF2C53" w:rsidRPr="00DB6D42">
              <w:rPr>
                <w:rFonts w:cs="Arial"/>
                <w:color w:val="000000"/>
                <w:sz w:val="18"/>
                <w:szCs w:val="18"/>
                <w:lang w:val="en-US"/>
              </w:rPr>
              <w:t>·</w:t>
            </w:r>
            <w:r w:rsidRPr="00DB6D42">
              <w:rPr>
                <w:rFonts w:cs="Arial"/>
                <w:color w:val="000000"/>
                <w:sz w:val="18"/>
                <w:szCs w:val="18"/>
                <w:lang w:val="en-US"/>
              </w:rPr>
              <w:t>9)</w:t>
            </w:r>
          </w:p>
        </w:tc>
        <w:tc>
          <w:tcPr>
            <w:tcW w:w="1617" w:type="dxa"/>
            <w:shd w:val="clear" w:color="auto" w:fill="FFFFFF"/>
          </w:tcPr>
          <w:p w14:paraId="4F148708"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21</w:t>
            </w:r>
            <w:r w:rsidR="00BF2C53" w:rsidRPr="00DB6D42">
              <w:rPr>
                <w:rFonts w:cs="Arial"/>
                <w:color w:val="000000"/>
                <w:sz w:val="18"/>
                <w:szCs w:val="18"/>
                <w:lang w:val="en-US"/>
              </w:rPr>
              <w:t>·</w:t>
            </w:r>
            <w:r w:rsidRPr="00DB6D42">
              <w:rPr>
                <w:rFonts w:cs="Arial"/>
                <w:color w:val="000000"/>
                <w:sz w:val="18"/>
                <w:szCs w:val="18"/>
                <w:lang w:val="en-US"/>
              </w:rPr>
              <w:t>5 (7</w:t>
            </w:r>
            <w:r w:rsidR="00BF2C53" w:rsidRPr="00DB6D42">
              <w:rPr>
                <w:rFonts w:cs="Arial"/>
                <w:color w:val="000000"/>
                <w:sz w:val="18"/>
                <w:szCs w:val="18"/>
                <w:lang w:val="en-US"/>
              </w:rPr>
              <w:t>·</w:t>
            </w:r>
            <w:r w:rsidRPr="00DB6D42">
              <w:rPr>
                <w:rFonts w:cs="Arial"/>
                <w:color w:val="000000"/>
                <w:sz w:val="18"/>
                <w:szCs w:val="18"/>
                <w:lang w:val="en-US"/>
              </w:rPr>
              <w:t>1)</w:t>
            </w:r>
          </w:p>
        </w:tc>
        <w:tc>
          <w:tcPr>
            <w:tcW w:w="1618" w:type="dxa"/>
            <w:shd w:val="clear" w:color="auto" w:fill="FFFFFF"/>
          </w:tcPr>
          <w:p w14:paraId="618D1053"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24</w:t>
            </w:r>
            <w:r w:rsidR="00BF2C53" w:rsidRPr="00DB6D42">
              <w:rPr>
                <w:rFonts w:cs="Arial"/>
                <w:color w:val="000000"/>
                <w:sz w:val="18"/>
                <w:szCs w:val="18"/>
                <w:lang w:val="en-US"/>
              </w:rPr>
              <w:t>·</w:t>
            </w:r>
            <w:r w:rsidRPr="00DB6D42">
              <w:rPr>
                <w:rFonts w:cs="Arial"/>
                <w:color w:val="000000"/>
                <w:sz w:val="18"/>
                <w:szCs w:val="18"/>
                <w:lang w:val="en-US"/>
              </w:rPr>
              <w:t>0 (8</w:t>
            </w:r>
            <w:r w:rsidR="00BF2C53" w:rsidRPr="00DB6D42">
              <w:rPr>
                <w:rFonts w:cs="Arial"/>
                <w:color w:val="000000"/>
                <w:sz w:val="18"/>
                <w:szCs w:val="18"/>
                <w:lang w:val="en-US"/>
              </w:rPr>
              <w:t>·</w:t>
            </w:r>
            <w:r w:rsidRPr="00DB6D42">
              <w:rPr>
                <w:rFonts w:cs="Arial"/>
                <w:color w:val="000000"/>
                <w:sz w:val="18"/>
                <w:szCs w:val="18"/>
                <w:lang w:val="en-US"/>
              </w:rPr>
              <w:t>8)</w:t>
            </w:r>
          </w:p>
        </w:tc>
        <w:tc>
          <w:tcPr>
            <w:tcW w:w="1617" w:type="dxa"/>
            <w:shd w:val="clear" w:color="auto" w:fill="FFFFFF"/>
          </w:tcPr>
          <w:p w14:paraId="7BB838DC"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23</w:t>
            </w:r>
            <w:r w:rsidR="00BF2C53" w:rsidRPr="00DB6D42">
              <w:rPr>
                <w:rFonts w:cs="Arial"/>
                <w:color w:val="000000"/>
                <w:sz w:val="18"/>
                <w:szCs w:val="18"/>
                <w:lang w:val="en-US"/>
              </w:rPr>
              <w:t>·</w:t>
            </w:r>
            <w:r w:rsidRPr="00DB6D42">
              <w:rPr>
                <w:rFonts w:cs="Arial"/>
                <w:color w:val="000000"/>
                <w:sz w:val="18"/>
                <w:szCs w:val="18"/>
                <w:lang w:val="en-US"/>
              </w:rPr>
              <w:t>7 (7</w:t>
            </w:r>
            <w:r w:rsidR="00BF2C53" w:rsidRPr="00DB6D42">
              <w:rPr>
                <w:rFonts w:cs="Arial"/>
                <w:color w:val="000000"/>
                <w:sz w:val="18"/>
                <w:szCs w:val="18"/>
                <w:lang w:val="en-US"/>
              </w:rPr>
              <w:t>·</w:t>
            </w:r>
            <w:r w:rsidRPr="00DB6D42">
              <w:rPr>
                <w:rFonts w:cs="Arial"/>
                <w:color w:val="000000"/>
                <w:sz w:val="18"/>
                <w:szCs w:val="18"/>
                <w:lang w:val="en-US"/>
              </w:rPr>
              <w:t>9)</w:t>
            </w:r>
          </w:p>
        </w:tc>
        <w:tc>
          <w:tcPr>
            <w:tcW w:w="1618" w:type="dxa"/>
            <w:shd w:val="clear" w:color="auto" w:fill="FFFFFF"/>
          </w:tcPr>
          <w:p w14:paraId="656A41A9"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22</w:t>
            </w:r>
            <w:r w:rsidR="00BF2C53" w:rsidRPr="00DB6D42">
              <w:rPr>
                <w:rFonts w:cs="Arial"/>
                <w:color w:val="000000"/>
                <w:sz w:val="18"/>
                <w:szCs w:val="18"/>
                <w:lang w:val="en-US"/>
              </w:rPr>
              <w:t>·</w:t>
            </w:r>
            <w:r w:rsidRPr="00DB6D42">
              <w:rPr>
                <w:rFonts w:cs="Arial"/>
                <w:color w:val="000000"/>
                <w:sz w:val="18"/>
                <w:szCs w:val="18"/>
                <w:lang w:val="en-US"/>
              </w:rPr>
              <w:t>4 (7</w:t>
            </w:r>
            <w:r w:rsidR="00BF2C53" w:rsidRPr="00DB6D42">
              <w:rPr>
                <w:rFonts w:cs="Arial"/>
                <w:color w:val="000000"/>
                <w:sz w:val="18"/>
                <w:szCs w:val="18"/>
                <w:lang w:val="en-US"/>
              </w:rPr>
              <w:t>·</w:t>
            </w:r>
            <w:r w:rsidRPr="00DB6D42">
              <w:rPr>
                <w:rFonts w:cs="Arial"/>
                <w:color w:val="000000"/>
                <w:sz w:val="18"/>
                <w:szCs w:val="18"/>
                <w:lang w:val="en-US"/>
              </w:rPr>
              <w:t>7)</w:t>
            </w:r>
          </w:p>
        </w:tc>
      </w:tr>
      <w:tr w:rsidR="00B32B9F" w:rsidRPr="00DB6D42" w14:paraId="23FF1825" w14:textId="77777777" w:rsidTr="009B032C">
        <w:trPr>
          <w:cantSplit/>
          <w:trHeight w:val="90"/>
          <w:tblHeader/>
          <w:jc w:val="center"/>
        </w:trPr>
        <w:tc>
          <w:tcPr>
            <w:tcW w:w="4266" w:type="dxa"/>
            <w:shd w:val="clear" w:color="auto" w:fill="FFFFFF"/>
            <w:vAlign w:val="center"/>
          </w:tcPr>
          <w:p w14:paraId="384500D8" w14:textId="77777777" w:rsidR="00B32B9F" w:rsidRPr="00DB6D42" w:rsidRDefault="00B32B9F" w:rsidP="00BB5FF5">
            <w:pPr>
              <w:keepNext/>
              <w:adjustRightInd w:val="0"/>
              <w:spacing w:after="0"/>
              <w:rPr>
                <w:rFonts w:cs="Arial"/>
                <w:color w:val="000000"/>
                <w:sz w:val="18"/>
                <w:szCs w:val="18"/>
                <w:lang w:val="en-US"/>
              </w:rPr>
            </w:pPr>
            <w:r w:rsidRPr="00DB6D42">
              <w:rPr>
                <w:rFonts w:cs="Arial"/>
                <w:color w:val="000000"/>
                <w:sz w:val="18"/>
                <w:szCs w:val="18"/>
                <w:lang w:val="en-US"/>
              </w:rPr>
              <w:t>GGT, U/L, mean (SD)</w:t>
            </w:r>
          </w:p>
        </w:tc>
        <w:tc>
          <w:tcPr>
            <w:tcW w:w="1617" w:type="dxa"/>
            <w:shd w:val="clear" w:color="auto" w:fill="FFFFFF"/>
          </w:tcPr>
          <w:p w14:paraId="4A3E28DF"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BF2C53" w:rsidRPr="00DB6D42">
              <w:rPr>
                <w:rFonts w:cs="Arial"/>
                <w:color w:val="000000"/>
                <w:sz w:val="18"/>
                <w:szCs w:val="18"/>
                <w:lang w:val="en-US"/>
              </w:rPr>
              <w:t>·</w:t>
            </w:r>
            <w:r w:rsidRPr="00DB6D42">
              <w:rPr>
                <w:rFonts w:cs="Arial"/>
                <w:color w:val="000000"/>
                <w:sz w:val="18"/>
                <w:szCs w:val="18"/>
                <w:lang w:val="en-US"/>
              </w:rPr>
              <w:t>680 (0</w:t>
            </w:r>
            <w:r w:rsidR="00BF2C53" w:rsidRPr="00DB6D42">
              <w:rPr>
                <w:rFonts w:cs="Arial"/>
                <w:color w:val="000000"/>
                <w:sz w:val="18"/>
                <w:szCs w:val="18"/>
                <w:lang w:val="en-US"/>
              </w:rPr>
              <w:t>·</w:t>
            </w:r>
            <w:r w:rsidRPr="00DB6D42">
              <w:rPr>
                <w:rFonts w:cs="Arial"/>
                <w:color w:val="000000"/>
                <w:sz w:val="18"/>
                <w:szCs w:val="18"/>
                <w:lang w:val="en-US"/>
              </w:rPr>
              <w:t>155)</w:t>
            </w:r>
          </w:p>
        </w:tc>
        <w:tc>
          <w:tcPr>
            <w:tcW w:w="1618" w:type="dxa"/>
            <w:shd w:val="clear" w:color="auto" w:fill="FFFFFF"/>
          </w:tcPr>
          <w:p w14:paraId="4DB2DB03"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BF2C53" w:rsidRPr="00DB6D42">
              <w:rPr>
                <w:rFonts w:cs="Arial"/>
                <w:color w:val="000000"/>
                <w:sz w:val="18"/>
                <w:szCs w:val="18"/>
                <w:lang w:val="en-US"/>
              </w:rPr>
              <w:t>·</w:t>
            </w:r>
            <w:r w:rsidRPr="00DB6D42">
              <w:rPr>
                <w:rFonts w:cs="Arial"/>
                <w:color w:val="000000"/>
                <w:sz w:val="18"/>
                <w:szCs w:val="18"/>
                <w:lang w:val="en-US"/>
              </w:rPr>
              <w:t>646 (0</w:t>
            </w:r>
            <w:r w:rsidR="00BF2C53" w:rsidRPr="00DB6D42">
              <w:rPr>
                <w:rFonts w:cs="Arial"/>
                <w:color w:val="000000"/>
                <w:sz w:val="18"/>
                <w:szCs w:val="18"/>
                <w:lang w:val="en-US"/>
              </w:rPr>
              <w:t>·</w:t>
            </w:r>
            <w:r w:rsidRPr="00DB6D42">
              <w:rPr>
                <w:rFonts w:cs="Arial"/>
                <w:color w:val="000000"/>
                <w:sz w:val="18"/>
                <w:szCs w:val="18"/>
                <w:lang w:val="en-US"/>
              </w:rPr>
              <w:t>181)</w:t>
            </w:r>
          </w:p>
        </w:tc>
        <w:tc>
          <w:tcPr>
            <w:tcW w:w="1617" w:type="dxa"/>
            <w:shd w:val="clear" w:color="auto" w:fill="FFFFFF"/>
          </w:tcPr>
          <w:p w14:paraId="6188E06C"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BF2C53" w:rsidRPr="00DB6D42">
              <w:rPr>
                <w:rFonts w:cs="Arial"/>
                <w:color w:val="000000"/>
                <w:sz w:val="18"/>
                <w:szCs w:val="18"/>
                <w:lang w:val="en-US"/>
              </w:rPr>
              <w:t>·</w:t>
            </w:r>
            <w:r w:rsidRPr="00DB6D42">
              <w:rPr>
                <w:rFonts w:cs="Arial"/>
                <w:color w:val="000000"/>
                <w:sz w:val="18"/>
                <w:szCs w:val="18"/>
                <w:lang w:val="en-US"/>
              </w:rPr>
              <w:t>676 (0</w:t>
            </w:r>
            <w:r w:rsidR="00BF2C53" w:rsidRPr="00DB6D42">
              <w:rPr>
                <w:rFonts w:cs="Arial"/>
                <w:color w:val="000000"/>
                <w:sz w:val="18"/>
                <w:szCs w:val="18"/>
                <w:lang w:val="en-US"/>
              </w:rPr>
              <w:t>·</w:t>
            </w:r>
            <w:r w:rsidRPr="00DB6D42">
              <w:rPr>
                <w:rFonts w:cs="Arial"/>
                <w:color w:val="000000"/>
                <w:sz w:val="18"/>
                <w:szCs w:val="18"/>
                <w:lang w:val="en-US"/>
              </w:rPr>
              <w:t>234)</w:t>
            </w:r>
          </w:p>
        </w:tc>
        <w:tc>
          <w:tcPr>
            <w:tcW w:w="1618" w:type="dxa"/>
            <w:shd w:val="clear" w:color="auto" w:fill="FFFFFF"/>
          </w:tcPr>
          <w:p w14:paraId="5B16835F"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BF2C53" w:rsidRPr="00DB6D42">
              <w:rPr>
                <w:rFonts w:cs="Arial"/>
                <w:color w:val="000000"/>
                <w:sz w:val="18"/>
                <w:szCs w:val="18"/>
                <w:lang w:val="en-US"/>
              </w:rPr>
              <w:t>·</w:t>
            </w:r>
            <w:r w:rsidRPr="00DB6D42">
              <w:rPr>
                <w:rFonts w:cs="Arial"/>
                <w:color w:val="000000"/>
                <w:sz w:val="18"/>
                <w:szCs w:val="18"/>
                <w:lang w:val="en-US"/>
              </w:rPr>
              <w:t>706 (0</w:t>
            </w:r>
            <w:r w:rsidR="00BF2C53" w:rsidRPr="00DB6D42">
              <w:rPr>
                <w:rFonts w:cs="Arial"/>
                <w:color w:val="000000"/>
                <w:sz w:val="18"/>
                <w:szCs w:val="18"/>
                <w:lang w:val="en-US"/>
              </w:rPr>
              <w:t>·</w:t>
            </w:r>
            <w:r w:rsidRPr="00DB6D42">
              <w:rPr>
                <w:rFonts w:cs="Arial"/>
                <w:color w:val="000000"/>
                <w:sz w:val="18"/>
                <w:szCs w:val="18"/>
                <w:lang w:val="en-US"/>
              </w:rPr>
              <w:t>198)</w:t>
            </w:r>
          </w:p>
        </w:tc>
        <w:tc>
          <w:tcPr>
            <w:tcW w:w="1617" w:type="dxa"/>
            <w:shd w:val="clear" w:color="auto" w:fill="FFFFFF"/>
          </w:tcPr>
          <w:p w14:paraId="09BAC22F"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BF2C53" w:rsidRPr="00DB6D42">
              <w:rPr>
                <w:rFonts w:cs="Arial"/>
                <w:color w:val="000000"/>
                <w:sz w:val="18"/>
                <w:szCs w:val="18"/>
                <w:lang w:val="en-US"/>
              </w:rPr>
              <w:t>·</w:t>
            </w:r>
            <w:r w:rsidRPr="00DB6D42">
              <w:rPr>
                <w:rFonts w:cs="Arial"/>
                <w:color w:val="000000"/>
                <w:sz w:val="18"/>
                <w:szCs w:val="18"/>
                <w:lang w:val="en-US"/>
              </w:rPr>
              <w:t>689 (0</w:t>
            </w:r>
            <w:r w:rsidR="00BF2C53" w:rsidRPr="00DB6D42">
              <w:rPr>
                <w:rFonts w:cs="Arial"/>
                <w:color w:val="000000"/>
                <w:sz w:val="18"/>
                <w:szCs w:val="18"/>
                <w:lang w:val="en-US"/>
              </w:rPr>
              <w:t>·</w:t>
            </w:r>
            <w:r w:rsidRPr="00DB6D42">
              <w:rPr>
                <w:rFonts w:cs="Arial"/>
                <w:color w:val="000000"/>
                <w:sz w:val="18"/>
                <w:szCs w:val="18"/>
                <w:lang w:val="en-US"/>
              </w:rPr>
              <w:t>196)</w:t>
            </w:r>
          </w:p>
        </w:tc>
        <w:tc>
          <w:tcPr>
            <w:tcW w:w="1618" w:type="dxa"/>
            <w:shd w:val="clear" w:color="auto" w:fill="FFFFFF"/>
          </w:tcPr>
          <w:p w14:paraId="5CB8436A"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BF2C53" w:rsidRPr="00DB6D42">
              <w:rPr>
                <w:rFonts w:cs="Arial"/>
                <w:color w:val="000000"/>
                <w:sz w:val="18"/>
                <w:szCs w:val="18"/>
                <w:lang w:val="en-US"/>
              </w:rPr>
              <w:t>·</w:t>
            </w:r>
            <w:r w:rsidRPr="00DB6D42">
              <w:rPr>
                <w:rFonts w:cs="Arial"/>
                <w:color w:val="000000"/>
                <w:sz w:val="18"/>
                <w:szCs w:val="18"/>
                <w:lang w:val="en-US"/>
              </w:rPr>
              <w:t>679 (0</w:t>
            </w:r>
            <w:r w:rsidR="00BF2C53" w:rsidRPr="00DB6D42">
              <w:rPr>
                <w:rFonts w:cs="Arial"/>
                <w:color w:val="000000"/>
                <w:sz w:val="18"/>
                <w:szCs w:val="18"/>
                <w:lang w:val="en-US"/>
              </w:rPr>
              <w:t>·</w:t>
            </w:r>
            <w:r w:rsidRPr="00DB6D42">
              <w:rPr>
                <w:rFonts w:cs="Arial"/>
                <w:color w:val="000000"/>
                <w:sz w:val="18"/>
                <w:szCs w:val="18"/>
                <w:lang w:val="en-US"/>
              </w:rPr>
              <w:t>193)</w:t>
            </w:r>
          </w:p>
        </w:tc>
      </w:tr>
      <w:tr w:rsidR="00B32B9F" w:rsidRPr="00DB6D42" w14:paraId="61F37A75" w14:textId="77777777" w:rsidTr="009B032C">
        <w:trPr>
          <w:cantSplit/>
          <w:trHeight w:val="90"/>
          <w:tblHeader/>
          <w:jc w:val="center"/>
        </w:trPr>
        <w:tc>
          <w:tcPr>
            <w:tcW w:w="4266" w:type="dxa"/>
            <w:shd w:val="clear" w:color="auto" w:fill="FFFFFF"/>
            <w:vAlign w:val="center"/>
          </w:tcPr>
          <w:p w14:paraId="0C4E06BB" w14:textId="77777777" w:rsidR="00B32B9F" w:rsidRPr="00DB6D42" w:rsidRDefault="00B32B9F" w:rsidP="00BB5FF5">
            <w:pPr>
              <w:keepNext/>
              <w:adjustRightInd w:val="0"/>
              <w:spacing w:after="0"/>
              <w:rPr>
                <w:rFonts w:cs="Arial"/>
                <w:color w:val="000000"/>
                <w:sz w:val="18"/>
                <w:szCs w:val="18"/>
                <w:lang w:val="en-US"/>
              </w:rPr>
            </w:pPr>
          </w:p>
        </w:tc>
        <w:tc>
          <w:tcPr>
            <w:tcW w:w="1617" w:type="dxa"/>
            <w:shd w:val="clear" w:color="auto" w:fill="FFFFFF"/>
          </w:tcPr>
          <w:p w14:paraId="2864EBC2"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42B53151" w14:textId="77777777" w:rsidR="00B32B9F" w:rsidRPr="00DB6D42" w:rsidRDefault="00B32B9F" w:rsidP="00BB5FF5">
            <w:pPr>
              <w:keepNext/>
              <w:adjustRightInd w:val="0"/>
              <w:spacing w:after="0"/>
              <w:jc w:val="center"/>
              <w:rPr>
                <w:rFonts w:cs="Arial"/>
                <w:color w:val="000000"/>
                <w:sz w:val="18"/>
                <w:szCs w:val="18"/>
                <w:lang w:val="en-US"/>
              </w:rPr>
            </w:pPr>
          </w:p>
        </w:tc>
        <w:tc>
          <w:tcPr>
            <w:tcW w:w="1617" w:type="dxa"/>
            <w:shd w:val="clear" w:color="auto" w:fill="FFFFFF"/>
          </w:tcPr>
          <w:p w14:paraId="3C31C0F9"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5BC4F469" w14:textId="77777777" w:rsidR="00B32B9F" w:rsidRPr="00DB6D42" w:rsidRDefault="00B32B9F" w:rsidP="00BB5FF5">
            <w:pPr>
              <w:keepNext/>
              <w:adjustRightInd w:val="0"/>
              <w:spacing w:after="0"/>
              <w:jc w:val="center"/>
              <w:rPr>
                <w:rFonts w:cs="Arial"/>
                <w:color w:val="000000"/>
                <w:sz w:val="18"/>
                <w:szCs w:val="18"/>
                <w:lang w:val="en-US"/>
              </w:rPr>
            </w:pPr>
          </w:p>
        </w:tc>
        <w:tc>
          <w:tcPr>
            <w:tcW w:w="1617" w:type="dxa"/>
            <w:shd w:val="clear" w:color="auto" w:fill="FFFFFF"/>
          </w:tcPr>
          <w:p w14:paraId="2DE145D3"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364075C9" w14:textId="77777777" w:rsidR="00B32B9F" w:rsidRPr="00DB6D42" w:rsidRDefault="00B32B9F" w:rsidP="00BB5FF5">
            <w:pPr>
              <w:keepNext/>
              <w:adjustRightInd w:val="0"/>
              <w:spacing w:after="0"/>
              <w:jc w:val="center"/>
              <w:rPr>
                <w:rFonts w:cs="Arial"/>
                <w:color w:val="000000"/>
                <w:sz w:val="18"/>
                <w:szCs w:val="18"/>
                <w:lang w:val="en-US"/>
              </w:rPr>
            </w:pPr>
          </w:p>
        </w:tc>
      </w:tr>
      <w:tr w:rsidR="00B32B9F" w:rsidRPr="00DB6D42" w14:paraId="3B5F362B" w14:textId="77777777" w:rsidTr="009B032C">
        <w:trPr>
          <w:cantSplit/>
          <w:trHeight w:val="90"/>
          <w:tblHeader/>
          <w:jc w:val="center"/>
        </w:trPr>
        <w:tc>
          <w:tcPr>
            <w:tcW w:w="4266" w:type="dxa"/>
            <w:shd w:val="clear" w:color="auto" w:fill="FFFFFF"/>
            <w:vAlign w:val="center"/>
          </w:tcPr>
          <w:p w14:paraId="54ADBD8F" w14:textId="77777777" w:rsidR="00B32B9F" w:rsidRPr="00DB6D42" w:rsidRDefault="00B32B9F" w:rsidP="00BB5FF5">
            <w:pPr>
              <w:keepNext/>
              <w:adjustRightInd w:val="0"/>
              <w:spacing w:after="0"/>
              <w:rPr>
                <w:rFonts w:cs="Arial"/>
                <w:color w:val="000000"/>
                <w:sz w:val="18"/>
                <w:szCs w:val="18"/>
                <w:lang w:val="en-US"/>
              </w:rPr>
            </w:pPr>
            <w:r w:rsidRPr="00DB6D42">
              <w:rPr>
                <w:rFonts w:cs="Arial"/>
                <w:color w:val="000000"/>
                <w:sz w:val="18"/>
                <w:szCs w:val="18"/>
                <w:lang w:val="en-US"/>
              </w:rPr>
              <w:t>Ventricular rate, bpm, mean (SD)</w:t>
            </w:r>
          </w:p>
        </w:tc>
        <w:tc>
          <w:tcPr>
            <w:tcW w:w="1617" w:type="dxa"/>
            <w:shd w:val="clear" w:color="auto" w:fill="FFFFFF"/>
          </w:tcPr>
          <w:p w14:paraId="284DF5BC"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63</w:t>
            </w:r>
            <w:r w:rsidR="00BF2C53" w:rsidRPr="00DB6D42">
              <w:rPr>
                <w:rFonts w:cs="Arial"/>
                <w:color w:val="000000"/>
                <w:sz w:val="18"/>
                <w:szCs w:val="18"/>
                <w:lang w:val="en-US"/>
              </w:rPr>
              <w:t>·</w:t>
            </w:r>
            <w:r w:rsidRPr="00DB6D42">
              <w:rPr>
                <w:rFonts w:cs="Arial"/>
                <w:color w:val="000000"/>
                <w:sz w:val="18"/>
                <w:szCs w:val="18"/>
                <w:lang w:val="en-US"/>
              </w:rPr>
              <w:t>1 (6</w:t>
            </w:r>
            <w:r w:rsidR="00BF2C53" w:rsidRPr="00DB6D42">
              <w:rPr>
                <w:rFonts w:cs="Arial"/>
                <w:color w:val="000000"/>
                <w:sz w:val="18"/>
                <w:szCs w:val="18"/>
                <w:lang w:val="en-US"/>
              </w:rPr>
              <w:t>·</w:t>
            </w:r>
            <w:r w:rsidRPr="00DB6D42">
              <w:rPr>
                <w:rFonts w:cs="Arial"/>
                <w:color w:val="000000"/>
                <w:sz w:val="18"/>
                <w:szCs w:val="18"/>
                <w:lang w:val="en-US"/>
              </w:rPr>
              <w:t>9)</w:t>
            </w:r>
          </w:p>
        </w:tc>
        <w:tc>
          <w:tcPr>
            <w:tcW w:w="1618" w:type="dxa"/>
            <w:shd w:val="clear" w:color="auto" w:fill="FFFFFF"/>
          </w:tcPr>
          <w:p w14:paraId="51D8FE85"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64</w:t>
            </w:r>
            <w:r w:rsidR="00BF2C53" w:rsidRPr="00DB6D42">
              <w:rPr>
                <w:rFonts w:cs="Arial"/>
                <w:color w:val="000000"/>
                <w:sz w:val="18"/>
                <w:szCs w:val="18"/>
                <w:lang w:val="en-US"/>
              </w:rPr>
              <w:t>·</w:t>
            </w:r>
            <w:r w:rsidRPr="00DB6D42">
              <w:rPr>
                <w:rFonts w:cs="Arial"/>
                <w:color w:val="000000"/>
                <w:sz w:val="18"/>
                <w:szCs w:val="18"/>
                <w:lang w:val="en-US"/>
              </w:rPr>
              <w:t>1 (6</w:t>
            </w:r>
            <w:r w:rsidR="00BF2C53" w:rsidRPr="00DB6D42">
              <w:rPr>
                <w:rFonts w:cs="Arial"/>
                <w:color w:val="000000"/>
                <w:sz w:val="18"/>
                <w:szCs w:val="18"/>
                <w:lang w:val="en-US"/>
              </w:rPr>
              <w:t>·</w:t>
            </w:r>
            <w:r w:rsidRPr="00DB6D42">
              <w:rPr>
                <w:rFonts w:cs="Arial"/>
                <w:color w:val="000000"/>
                <w:sz w:val="18"/>
                <w:szCs w:val="18"/>
                <w:lang w:val="en-US"/>
              </w:rPr>
              <w:t>5)</w:t>
            </w:r>
          </w:p>
        </w:tc>
        <w:tc>
          <w:tcPr>
            <w:tcW w:w="1617" w:type="dxa"/>
            <w:shd w:val="clear" w:color="auto" w:fill="FFFFFF"/>
          </w:tcPr>
          <w:p w14:paraId="0CA90A43"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64</w:t>
            </w:r>
            <w:r w:rsidR="00BF2C53" w:rsidRPr="00DB6D42">
              <w:rPr>
                <w:rFonts w:cs="Arial"/>
                <w:color w:val="000000"/>
                <w:sz w:val="18"/>
                <w:szCs w:val="18"/>
                <w:lang w:val="en-US"/>
              </w:rPr>
              <w:t>·</w:t>
            </w:r>
            <w:r w:rsidRPr="00DB6D42">
              <w:rPr>
                <w:rFonts w:cs="Arial"/>
                <w:color w:val="000000"/>
                <w:sz w:val="18"/>
                <w:szCs w:val="18"/>
                <w:lang w:val="en-US"/>
              </w:rPr>
              <w:t>5 (8</w:t>
            </w:r>
            <w:r w:rsidR="00BF2C53" w:rsidRPr="00DB6D42">
              <w:rPr>
                <w:rFonts w:cs="Arial"/>
                <w:color w:val="000000"/>
                <w:sz w:val="18"/>
                <w:szCs w:val="18"/>
                <w:lang w:val="en-US"/>
              </w:rPr>
              <w:t>·</w:t>
            </w:r>
            <w:r w:rsidRPr="00DB6D42">
              <w:rPr>
                <w:rFonts w:cs="Arial"/>
                <w:color w:val="000000"/>
                <w:sz w:val="18"/>
                <w:szCs w:val="18"/>
                <w:lang w:val="en-US"/>
              </w:rPr>
              <w:t>7)</w:t>
            </w:r>
          </w:p>
        </w:tc>
        <w:tc>
          <w:tcPr>
            <w:tcW w:w="1618" w:type="dxa"/>
            <w:shd w:val="clear" w:color="auto" w:fill="FFFFFF"/>
          </w:tcPr>
          <w:p w14:paraId="4BFB6CED"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62</w:t>
            </w:r>
            <w:r w:rsidR="00BF2C53" w:rsidRPr="00DB6D42">
              <w:rPr>
                <w:rFonts w:cs="Arial"/>
                <w:color w:val="000000"/>
                <w:sz w:val="18"/>
                <w:szCs w:val="18"/>
                <w:lang w:val="en-US"/>
              </w:rPr>
              <w:t>·</w:t>
            </w:r>
            <w:r w:rsidRPr="00DB6D42">
              <w:rPr>
                <w:rFonts w:cs="Arial"/>
                <w:color w:val="000000"/>
                <w:sz w:val="18"/>
                <w:szCs w:val="18"/>
                <w:lang w:val="en-US"/>
              </w:rPr>
              <w:t>4 (7</w:t>
            </w:r>
            <w:r w:rsidR="00BF2C53" w:rsidRPr="00DB6D42">
              <w:rPr>
                <w:rFonts w:cs="Arial"/>
                <w:color w:val="000000"/>
                <w:sz w:val="18"/>
                <w:szCs w:val="18"/>
                <w:lang w:val="en-US"/>
              </w:rPr>
              <w:t>·</w:t>
            </w:r>
            <w:r w:rsidRPr="00DB6D42">
              <w:rPr>
                <w:rFonts w:cs="Arial"/>
                <w:color w:val="000000"/>
                <w:sz w:val="18"/>
                <w:szCs w:val="18"/>
                <w:lang w:val="en-US"/>
              </w:rPr>
              <w:t>4)</w:t>
            </w:r>
          </w:p>
        </w:tc>
        <w:tc>
          <w:tcPr>
            <w:tcW w:w="1617" w:type="dxa"/>
            <w:shd w:val="clear" w:color="auto" w:fill="FFFFFF"/>
          </w:tcPr>
          <w:p w14:paraId="078EAFF8"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63</w:t>
            </w:r>
            <w:r w:rsidR="00BF2C53" w:rsidRPr="00DB6D42">
              <w:rPr>
                <w:rFonts w:cs="Arial"/>
                <w:color w:val="000000"/>
                <w:sz w:val="18"/>
                <w:szCs w:val="18"/>
                <w:lang w:val="en-US"/>
              </w:rPr>
              <w:t>·</w:t>
            </w:r>
            <w:r w:rsidRPr="00DB6D42">
              <w:rPr>
                <w:rFonts w:cs="Arial"/>
                <w:color w:val="000000"/>
                <w:sz w:val="18"/>
                <w:szCs w:val="18"/>
                <w:lang w:val="en-US"/>
              </w:rPr>
              <w:t>6 (9</w:t>
            </w:r>
            <w:r w:rsidR="00BF2C53" w:rsidRPr="00DB6D42">
              <w:rPr>
                <w:rFonts w:cs="Arial"/>
                <w:color w:val="000000"/>
                <w:sz w:val="18"/>
                <w:szCs w:val="18"/>
                <w:lang w:val="en-US"/>
              </w:rPr>
              <w:t>·</w:t>
            </w:r>
            <w:r w:rsidRPr="00DB6D42">
              <w:rPr>
                <w:rFonts w:cs="Arial"/>
                <w:color w:val="000000"/>
                <w:sz w:val="18"/>
                <w:szCs w:val="18"/>
                <w:lang w:val="en-US"/>
              </w:rPr>
              <w:t>0)</w:t>
            </w:r>
          </w:p>
        </w:tc>
        <w:tc>
          <w:tcPr>
            <w:tcW w:w="1618" w:type="dxa"/>
            <w:shd w:val="clear" w:color="auto" w:fill="FFFFFF"/>
          </w:tcPr>
          <w:p w14:paraId="080177D7"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63</w:t>
            </w:r>
            <w:r w:rsidR="00BF2C53" w:rsidRPr="00DB6D42">
              <w:rPr>
                <w:rFonts w:cs="Arial"/>
                <w:color w:val="000000"/>
                <w:sz w:val="18"/>
                <w:szCs w:val="18"/>
                <w:lang w:val="en-US"/>
              </w:rPr>
              <w:t>·</w:t>
            </w:r>
            <w:r w:rsidRPr="00DB6D42">
              <w:rPr>
                <w:rFonts w:cs="Arial"/>
                <w:color w:val="000000"/>
                <w:sz w:val="18"/>
                <w:szCs w:val="18"/>
                <w:lang w:val="en-US"/>
              </w:rPr>
              <w:t>6 (7</w:t>
            </w:r>
            <w:r w:rsidR="00BF2C53" w:rsidRPr="00DB6D42">
              <w:rPr>
                <w:rFonts w:cs="Arial"/>
                <w:color w:val="000000"/>
                <w:sz w:val="18"/>
                <w:szCs w:val="18"/>
                <w:lang w:val="en-US"/>
              </w:rPr>
              <w:t>·</w:t>
            </w:r>
            <w:r w:rsidRPr="00DB6D42">
              <w:rPr>
                <w:rFonts w:cs="Arial"/>
                <w:color w:val="000000"/>
                <w:sz w:val="18"/>
                <w:szCs w:val="18"/>
                <w:lang w:val="en-US"/>
              </w:rPr>
              <w:t>7)</w:t>
            </w:r>
          </w:p>
        </w:tc>
      </w:tr>
      <w:tr w:rsidR="00B32B9F" w:rsidRPr="00DB6D42" w14:paraId="4DB77614" w14:textId="77777777" w:rsidTr="009B032C">
        <w:trPr>
          <w:cantSplit/>
          <w:trHeight w:val="90"/>
          <w:tblHeader/>
          <w:jc w:val="center"/>
        </w:trPr>
        <w:tc>
          <w:tcPr>
            <w:tcW w:w="4266" w:type="dxa"/>
            <w:shd w:val="clear" w:color="auto" w:fill="FFFFFF"/>
            <w:vAlign w:val="center"/>
          </w:tcPr>
          <w:p w14:paraId="4EADD8E7" w14:textId="77777777" w:rsidR="00B32B9F" w:rsidRPr="00DB6D42" w:rsidRDefault="00B32B9F" w:rsidP="00BB5FF5">
            <w:pPr>
              <w:keepNext/>
              <w:adjustRightInd w:val="0"/>
              <w:spacing w:after="0"/>
              <w:rPr>
                <w:rFonts w:cs="Arial"/>
                <w:color w:val="000000"/>
                <w:sz w:val="18"/>
                <w:szCs w:val="18"/>
                <w:lang w:val="en-US"/>
              </w:rPr>
            </w:pPr>
            <w:r w:rsidRPr="00DB6D42">
              <w:rPr>
                <w:rFonts w:cs="Arial"/>
                <w:color w:val="000000"/>
                <w:sz w:val="18"/>
                <w:szCs w:val="18"/>
                <w:lang w:val="en-US"/>
              </w:rPr>
              <w:t>QT interval, msec, mean (SD)</w:t>
            </w:r>
          </w:p>
        </w:tc>
        <w:tc>
          <w:tcPr>
            <w:tcW w:w="1617" w:type="dxa"/>
            <w:shd w:val="clear" w:color="auto" w:fill="FFFFFF"/>
          </w:tcPr>
          <w:p w14:paraId="7E66E21E"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411</w:t>
            </w:r>
            <w:r w:rsidR="00BF2C53" w:rsidRPr="00DB6D42">
              <w:rPr>
                <w:rFonts w:cs="Arial"/>
                <w:color w:val="000000"/>
                <w:sz w:val="18"/>
                <w:szCs w:val="18"/>
                <w:lang w:val="en-US"/>
              </w:rPr>
              <w:t>·</w:t>
            </w:r>
            <w:r w:rsidRPr="00DB6D42">
              <w:rPr>
                <w:rFonts w:cs="Arial"/>
                <w:color w:val="000000"/>
                <w:sz w:val="18"/>
                <w:szCs w:val="18"/>
                <w:lang w:val="en-US"/>
              </w:rPr>
              <w:t>9 (27</w:t>
            </w:r>
            <w:r w:rsidR="00BF2C53" w:rsidRPr="00DB6D42">
              <w:rPr>
                <w:rFonts w:cs="Arial"/>
                <w:color w:val="000000"/>
                <w:sz w:val="18"/>
                <w:szCs w:val="18"/>
                <w:lang w:val="en-US"/>
              </w:rPr>
              <w:t>·</w:t>
            </w:r>
            <w:r w:rsidRPr="00DB6D42">
              <w:rPr>
                <w:rFonts w:cs="Arial"/>
                <w:color w:val="000000"/>
                <w:sz w:val="18"/>
                <w:szCs w:val="18"/>
                <w:lang w:val="en-US"/>
              </w:rPr>
              <w:t>7)</w:t>
            </w:r>
          </w:p>
        </w:tc>
        <w:tc>
          <w:tcPr>
            <w:tcW w:w="1618" w:type="dxa"/>
            <w:shd w:val="clear" w:color="auto" w:fill="FFFFFF"/>
          </w:tcPr>
          <w:p w14:paraId="4BFD8EAF"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414</w:t>
            </w:r>
            <w:r w:rsidR="00BF2C53" w:rsidRPr="00DB6D42">
              <w:rPr>
                <w:rFonts w:cs="Arial"/>
                <w:color w:val="000000"/>
                <w:sz w:val="18"/>
                <w:szCs w:val="18"/>
                <w:lang w:val="en-US"/>
              </w:rPr>
              <w:t>·</w:t>
            </w:r>
            <w:r w:rsidRPr="00DB6D42">
              <w:rPr>
                <w:rFonts w:cs="Arial"/>
                <w:color w:val="000000"/>
                <w:sz w:val="18"/>
                <w:szCs w:val="18"/>
                <w:lang w:val="en-US"/>
              </w:rPr>
              <w:t>0 (21</w:t>
            </w:r>
            <w:r w:rsidR="00BF2C53" w:rsidRPr="00DB6D42">
              <w:rPr>
                <w:rFonts w:cs="Arial"/>
                <w:color w:val="000000"/>
                <w:sz w:val="18"/>
                <w:szCs w:val="18"/>
                <w:lang w:val="en-US"/>
              </w:rPr>
              <w:t>·</w:t>
            </w:r>
            <w:r w:rsidRPr="00DB6D42">
              <w:rPr>
                <w:rFonts w:cs="Arial"/>
                <w:color w:val="000000"/>
                <w:sz w:val="18"/>
                <w:szCs w:val="18"/>
                <w:lang w:val="en-US"/>
              </w:rPr>
              <w:t>6)</w:t>
            </w:r>
          </w:p>
        </w:tc>
        <w:tc>
          <w:tcPr>
            <w:tcW w:w="1617" w:type="dxa"/>
            <w:shd w:val="clear" w:color="auto" w:fill="FFFFFF"/>
          </w:tcPr>
          <w:p w14:paraId="5957BE18"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408</w:t>
            </w:r>
            <w:r w:rsidR="00BF2C53" w:rsidRPr="00DB6D42">
              <w:rPr>
                <w:rFonts w:cs="Arial"/>
                <w:color w:val="000000"/>
                <w:sz w:val="18"/>
                <w:szCs w:val="18"/>
                <w:lang w:val="en-US"/>
              </w:rPr>
              <w:t>·</w:t>
            </w:r>
            <w:r w:rsidRPr="00DB6D42">
              <w:rPr>
                <w:rFonts w:cs="Arial"/>
                <w:color w:val="000000"/>
                <w:sz w:val="18"/>
                <w:szCs w:val="18"/>
                <w:lang w:val="en-US"/>
              </w:rPr>
              <w:t>6 (26</w:t>
            </w:r>
            <w:r w:rsidR="00BF2C53" w:rsidRPr="00DB6D42">
              <w:rPr>
                <w:rFonts w:cs="Arial"/>
                <w:color w:val="000000"/>
                <w:sz w:val="18"/>
                <w:szCs w:val="18"/>
                <w:lang w:val="en-US"/>
              </w:rPr>
              <w:t>·</w:t>
            </w:r>
            <w:r w:rsidRPr="00DB6D42">
              <w:rPr>
                <w:rFonts w:cs="Arial"/>
                <w:color w:val="000000"/>
                <w:sz w:val="18"/>
                <w:szCs w:val="18"/>
                <w:lang w:val="en-US"/>
              </w:rPr>
              <w:t>1)</w:t>
            </w:r>
          </w:p>
        </w:tc>
        <w:tc>
          <w:tcPr>
            <w:tcW w:w="1618" w:type="dxa"/>
            <w:shd w:val="clear" w:color="auto" w:fill="FFFFFF"/>
          </w:tcPr>
          <w:p w14:paraId="1624757D"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416</w:t>
            </w:r>
            <w:r w:rsidR="00BF2C53" w:rsidRPr="00DB6D42">
              <w:rPr>
                <w:rFonts w:cs="Arial"/>
                <w:color w:val="000000"/>
                <w:sz w:val="18"/>
                <w:szCs w:val="18"/>
                <w:lang w:val="en-US"/>
              </w:rPr>
              <w:t>·</w:t>
            </w:r>
            <w:r w:rsidRPr="00DB6D42">
              <w:rPr>
                <w:rFonts w:cs="Arial"/>
                <w:color w:val="000000"/>
                <w:sz w:val="18"/>
                <w:szCs w:val="18"/>
                <w:lang w:val="en-US"/>
              </w:rPr>
              <w:t>4 (25</w:t>
            </w:r>
            <w:r w:rsidR="00BF2C53" w:rsidRPr="00DB6D42">
              <w:rPr>
                <w:rFonts w:cs="Arial"/>
                <w:color w:val="000000"/>
                <w:sz w:val="18"/>
                <w:szCs w:val="18"/>
                <w:lang w:val="en-US"/>
              </w:rPr>
              <w:t>·</w:t>
            </w:r>
            <w:r w:rsidRPr="00DB6D42">
              <w:rPr>
                <w:rFonts w:cs="Arial"/>
                <w:color w:val="000000"/>
                <w:sz w:val="18"/>
                <w:szCs w:val="18"/>
                <w:lang w:val="en-US"/>
              </w:rPr>
              <w:t>4)</w:t>
            </w:r>
          </w:p>
        </w:tc>
        <w:tc>
          <w:tcPr>
            <w:tcW w:w="1617" w:type="dxa"/>
            <w:shd w:val="clear" w:color="auto" w:fill="FFFFFF"/>
          </w:tcPr>
          <w:p w14:paraId="0FBBFCED"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415</w:t>
            </w:r>
            <w:r w:rsidR="00BF2C53" w:rsidRPr="00DB6D42">
              <w:rPr>
                <w:rFonts w:cs="Arial"/>
                <w:color w:val="000000"/>
                <w:sz w:val="18"/>
                <w:szCs w:val="18"/>
                <w:lang w:val="en-US"/>
              </w:rPr>
              <w:t>·</w:t>
            </w:r>
            <w:r w:rsidRPr="00DB6D42">
              <w:rPr>
                <w:rFonts w:cs="Arial"/>
                <w:color w:val="000000"/>
                <w:sz w:val="18"/>
                <w:szCs w:val="18"/>
                <w:lang w:val="en-US"/>
              </w:rPr>
              <w:t>5 (28</w:t>
            </w:r>
            <w:r w:rsidR="00BF2C53" w:rsidRPr="00DB6D42">
              <w:rPr>
                <w:rFonts w:cs="Arial"/>
                <w:color w:val="000000"/>
                <w:sz w:val="18"/>
                <w:szCs w:val="18"/>
                <w:lang w:val="en-US"/>
              </w:rPr>
              <w:t>·</w:t>
            </w:r>
            <w:r w:rsidRPr="00DB6D42">
              <w:rPr>
                <w:rFonts w:cs="Arial"/>
                <w:color w:val="000000"/>
                <w:sz w:val="18"/>
                <w:szCs w:val="18"/>
                <w:lang w:val="en-US"/>
              </w:rPr>
              <w:t>0)</w:t>
            </w:r>
          </w:p>
        </w:tc>
        <w:tc>
          <w:tcPr>
            <w:tcW w:w="1618" w:type="dxa"/>
            <w:shd w:val="clear" w:color="auto" w:fill="FFFFFF"/>
          </w:tcPr>
          <w:p w14:paraId="39E2D2A2"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413</w:t>
            </w:r>
            <w:r w:rsidR="00BF2C53" w:rsidRPr="00DB6D42">
              <w:rPr>
                <w:rFonts w:cs="Arial"/>
                <w:color w:val="000000"/>
                <w:sz w:val="18"/>
                <w:szCs w:val="18"/>
                <w:lang w:val="en-US"/>
              </w:rPr>
              <w:t>·</w:t>
            </w:r>
            <w:r w:rsidRPr="00DB6D42">
              <w:rPr>
                <w:rFonts w:cs="Arial"/>
                <w:color w:val="000000"/>
                <w:sz w:val="18"/>
                <w:szCs w:val="18"/>
                <w:lang w:val="en-US"/>
              </w:rPr>
              <w:t>2 (25</w:t>
            </w:r>
            <w:r w:rsidR="00BF2C53" w:rsidRPr="00DB6D42">
              <w:rPr>
                <w:rFonts w:cs="Arial"/>
                <w:color w:val="000000"/>
                <w:sz w:val="18"/>
                <w:szCs w:val="18"/>
                <w:lang w:val="en-US"/>
              </w:rPr>
              <w:t>·</w:t>
            </w:r>
            <w:r w:rsidRPr="00DB6D42">
              <w:rPr>
                <w:rFonts w:cs="Arial"/>
                <w:color w:val="000000"/>
                <w:sz w:val="18"/>
                <w:szCs w:val="18"/>
                <w:lang w:val="en-US"/>
              </w:rPr>
              <w:t>8)</w:t>
            </w:r>
          </w:p>
        </w:tc>
      </w:tr>
      <w:tr w:rsidR="00B32B9F" w:rsidRPr="00DB6D42" w14:paraId="0E1E86E2" w14:textId="77777777" w:rsidTr="009B032C">
        <w:trPr>
          <w:cantSplit/>
          <w:trHeight w:val="90"/>
          <w:tblHeader/>
          <w:jc w:val="center"/>
        </w:trPr>
        <w:tc>
          <w:tcPr>
            <w:tcW w:w="4266" w:type="dxa"/>
            <w:shd w:val="clear" w:color="auto" w:fill="FFFFFF"/>
            <w:vAlign w:val="center"/>
          </w:tcPr>
          <w:p w14:paraId="1239C651" w14:textId="77777777" w:rsidR="00B32B9F" w:rsidRPr="00DB6D42" w:rsidRDefault="00B32B9F" w:rsidP="00BB5FF5">
            <w:pPr>
              <w:keepNext/>
              <w:adjustRightInd w:val="0"/>
              <w:spacing w:after="0"/>
              <w:rPr>
                <w:rFonts w:cs="Arial"/>
                <w:color w:val="000000"/>
                <w:sz w:val="18"/>
                <w:szCs w:val="18"/>
                <w:lang w:val="en-US"/>
              </w:rPr>
            </w:pPr>
          </w:p>
        </w:tc>
        <w:tc>
          <w:tcPr>
            <w:tcW w:w="1617" w:type="dxa"/>
            <w:shd w:val="clear" w:color="auto" w:fill="FFFFFF"/>
          </w:tcPr>
          <w:p w14:paraId="4D79DE3A"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574F37E0" w14:textId="77777777" w:rsidR="00B32B9F" w:rsidRPr="00DB6D42" w:rsidRDefault="00B32B9F" w:rsidP="00BB5FF5">
            <w:pPr>
              <w:keepNext/>
              <w:adjustRightInd w:val="0"/>
              <w:spacing w:after="0"/>
              <w:jc w:val="center"/>
              <w:rPr>
                <w:rFonts w:cs="Arial"/>
                <w:color w:val="000000"/>
                <w:sz w:val="18"/>
                <w:szCs w:val="18"/>
                <w:lang w:val="en-US"/>
              </w:rPr>
            </w:pPr>
          </w:p>
        </w:tc>
        <w:tc>
          <w:tcPr>
            <w:tcW w:w="1617" w:type="dxa"/>
            <w:shd w:val="clear" w:color="auto" w:fill="FFFFFF"/>
          </w:tcPr>
          <w:p w14:paraId="151F804B"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748970A5" w14:textId="77777777" w:rsidR="00B32B9F" w:rsidRPr="00DB6D42" w:rsidRDefault="00B32B9F" w:rsidP="00BB5FF5">
            <w:pPr>
              <w:keepNext/>
              <w:adjustRightInd w:val="0"/>
              <w:spacing w:after="0"/>
              <w:jc w:val="center"/>
              <w:rPr>
                <w:rFonts w:cs="Arial"/>
                <w:color w:val="000000"/>
                <w:sz w:val="18"/>
                <w:szCs w:val="18"/>
                <w:lang w:val="en-US"/>
              </w:rPr>
            </w:pPr>
          </w:p>
        </w:tc>
        <w:tc>
          <w:tcPr>
            <w:tcW w:w="1617" w:type="dxa"/>
            <w:shd w:val="clear" w:color="auto" w:fill="FFFFFF"/>
          </w:tcPr>
          <w:p w14:paraId="57B35B02"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shd w:val="clear" w:color="auto" w:fill="FFFFFF"/>
          </w:tcPr>
          <w:p w14:paraId="16B73951" w14:textId="77777777" w:rsidR="00B32B9F" w:rsidRPr="00DB6D42" w:rsidRDefault="00B32B9F" w:rsidP="00BB5FF5">
            <w:pPr>
              <w:keepNext/>
              <w:adjustRightInd w:val="0"/>
              <w:spacing w:after="0"/>
              <w:jc w:val="center"/>
              <w:rPr>
                <w:rFonts w:cs="Arial"/>
                <w:color w:val="000000"/>
                <w:sz w:val="18"/>
                <w:szCs w:val="18"/>
                <w:lang w:val="en-US"/>
              </w:rPr>
            </w:pPr>
          </w:p>
        </w:tc>
      </w:tr>
      <w:tr w:rsidR="00B32B9F" w:rsidRPr="00DB6D42" w14:paraId="49E6736C" w14:textId="77777777" w:rsidTr="009B032C">
        <w:trPr>
          <w:cantSplit/>
          <w:trHeight w:val="90"/>
          <w:tblHeader/>
          <w:jc w:val="center"/>
        </w:trPr>
        <w:tc>
          <w:tcPr>
            <w:tcW w:w="4266" w:type="dxa"/>
            <w:shd w:val="clear" w:color="auto" w:fill="FFFFFF"/>
            <w:vAlign w:val="center"/>
          </w:tcPr>
          <w:p w14:paraId="44295741" w14:textId="77777777" w:rsidR="00B32B9F" w:rsidRPr="00DB6D42" w:rsidRDefault="00B32B9F" w:rsidP="00BB5FF5">
            <w:pPr>
              <w:keepNext/>
              <w:adjustRightInd w:val="0"/>
              <w:spacing w:after="0"/>
              <w:rPr>
                <w:rFonts w:cs="Arial"/>
                <w:color w:val="000000"/>
                <w:sz w:val="18"/>
                <w:szCs w:val="18"/>
                <w:lang w:val="en-US"/>
              </w:rPr>
            </w:pPr>
            <w:r w:rsidRPr="00DB6D42">
              <w:rPr>
                <w:rFonts w:cs="Arial"/>
                <w:color w:val="000000"/>
                <w:sz w:val="18"/>
                <w:szCs w:val="18"/>
                <w:lang w:val="en-US"/>
              </w:rPr>
              <w:t xml:space="preserve">qPCR, </w:t>
            </w:r>
            <w:proofErr w:type="spellStart"/>
            <w:r w:rsidRPr="00DB6D42">
              <w:rPr>
                <w:rFonts w:cs="Arial"/>
                <w:color w:val="000000"/>
                <w:sz w:val="18"/>
                <w:szCs w:val="18"/>
                <w:lang w:val="en-US"/>
              </w:rPr>
              <w:t>pEq</w:t>
            </w:r>
            <w:proofErr w:type="spellEnd"/>
            <w:r w:rsidRPr="00DB6D42">
              <w:rPr>
                <w:rFonts w:cs="Arial"/>
                <w:color w:val="000000"/>
                <w:sz w:val="18"/>
                <w:szCs w:val="18"/>
                <w:lang w:val="en-US"/>
              </w:rPr>
              <w:t>/ml, mean (SD)</w:t>
            </w:r>
          </w:p>
        </w:tc>
        <w:tc>
          <w:tcPr>
            <w:tcW w:w="1617" w:type="dxa"/>
            <w:shd w:val="clear" w:color="auto" w:fill="FFFFFF"/>
          </w:tcPr>
          <w:p w14:paraId="01053993"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BF2C53" w:rsidRPr="00DB6D42">
              <w:rPr>
                <w:rFonts w:cs="Arial"/>
                <w:color w:val="000000"/>
                <w:sz w:val="18"/>
                <w:szCs w:val="18"/>
                <w:lang w:val="en-US"/>
              </w:rPr>
              <w:t>·</w:t>
            </w:r>
            <w:r w:rsidRPr="00DB6D42">
              <w:rPr>
                <w:rFonts w:cs="Arial"/>
                <w:color w:val="000000"/>
                <w:sz w:val="18"/>
                <w:szCs w:val="18"/>
                <w:lang w:val="en-US"/>
              </w:rPr>
              <w:t>9539 (2</w:t>
            </w:r>
            <w:r w:rsidR="00BF2C53" w:rsidRPr="00DB6D42">
              <w:rPr>
                <w:rFonts w:cs="Arial"/>
                <w:color w:val="000000"/>
                <w:sz w:val="18"/>
                <w:szCs w:val="18"/>
                <w:lang w:val="en-US"/>
              </w:rPr>
              <w:t>·</w:t>
            </w:r>
            <w:r w:rsidRPr="00DB6D42">
              <w:rPr>
                <w:rFonts w:cs="Arial"/>
                <w:color w:val="000000"/>
                <w:sz w:val="18"/>
                <w:szCs w:val="18"/>
                <w:lang w:val="en-US"/>
              </w:rPr>
              <w:t>3714)</w:t>
            </w:r>
          </w:p>
        </w:tc>
        <w:tc>
          <w:tcPr>
            <w:tcW w:w="1618" w:type="dxa"/>
            <w:shd w:val="clear" w:color="auto" w:fill="FFFFFF"/>
          </w:tcPr>
          <w:p w14:paraId="407E7187"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1</w:t>
            </w:r>
            <w:r w:rsidR="00BF2C53" w:rsidRPr="00DB6D42">
              <w:rPr>
                <w:rFonts w:cs="Arial"/>
                <w:color w:val="000000"/>
                <w:sz w:val="18"/>
                <w:szCs w:val="18"/>
                <w:lang w:val="en-US"/>
              </w:rPr>
              <w:t>·</w:t>
            </w:r>
            <w:r w:rsidRPr="00DB6D42">
              <w:rPr>
                <w:rFonts w:cs="Arial"/>
                <w:color w:val="000000"/>
                <w:sz w:val="18"/>
                <w:szCs w:val="18"/>
                <w:lang w:val="en-US"/>
              </w:rPr>
              <w:t>1921 (1</w:t>
            </w:r>
            <w:r w:rsidR="00BF2C53" w:rsidRPr="00DB6D42">
              <w:rPr>
                <w:rFonts w:cs="Arial"/>
                <w:color w:val="000000"/>
                <w:sz w:val="18"/>
                <w:szCs w:val="18"/>
                <w:lang w:val="en-US"/>
              </w:rPr>
              <w:t>·</w:t>
            </w:r>
            <w:r w:rsidRPr="00DB6D42">
              <w:rPr>
                <w:rFonts w:cs="Arial"/>
                <w:color w:val="000000"/>
                <w:sz w:val="18"/>
                <w:szCs w:val="18"/>
                <w:lang w:val="en-US"/>
              </w:rPr>
              <w:t>8874)</w:t>
            </w:r>
          </w:p>
        </w:tc>
        <w:tc>
          <w:tcPr>
            <w:tcW w:w="1617" w:type="dxa"/>
            <w:shd w:val="clear" w:color="auto" w:fill="FFFFFF"/>
          </w:tcPr>
          <w:p w14:paraId="4DD61991"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BF2C53" w:rsidRPr="00DB6D42">
              <w:rPr>
                <w:rFonts w:cs="Arial"/>
                <w:color w:val="000000"/>
                <w:sz w:val="18"/>
                <w:szCs w:val="18"/>
                <w:lang w:val="en-US"/>
              </w:rPr>
              <w:t>·</w:t>
            </w:r>
            <w:r w:rsidRPr="00DB6D42">
              <w:rPr>
                <w:rFonts w:cs="Arial"/>
                <w:color w:val="000000"/>
                <w:sz w:val="18"/>
                <w:szCs w:val="18"/>
                <w:lang w:val="en-US"/>
              </w:rPr>
              <w:t>5853 (0</w:t>
            </w:r>
            <w:r w:rsidR="00BF2C53" w:rsidRPr="00DB6D42">
              <w:rPr>
                <w:rFonts w:cs="Arial"/>
                <w:color w:val="000000"/>
                <w:sz w:val="18"/>
                <w:szCs w:val="18"/>
                <w:lang w:val="en-US"/>
              </w:rPr>
              <w:t>·</w:t>
            </w:r>
            <w:r w:rsidRPr="00DB6D42">
              <w:rPr>
                <w:rFonts w:cs="Arial"/>
                <w:color w:val="000000"/>
                <w:sz w:val="18"/>
                <w:szCs w:val="18"/>
                <w:lang w:val="en-US"/>
              </w:rPr>
              <w:t>8722)</w:t>
            </w:r>
          </w:p>
        </w:tc>
        <w:tc>
          <w:tcPr>
            <w:tcW w:w="1618" w:type="dxa"/>
            <w:shd w:val="clear" w:color="auto" w:fill="FFFFFF"/>
          </w:tcPr>
          <w:p w14:paraId="299FA698"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BF2C53" w:rsidRPr="00DB6D42">
              <w:rPr>
                <w:rFonts w:cs="Arial"/>
                <w:color w:val="000000"/>
                <w:sz w:val="18"/>
                <w:szCs w:val="18"/>
                <w:lang w:val="en-US"/>
              </w:rPr>
              <w:t>·</w:t>
            </w:r>
            <w:r w:rsidRPr="00DB6D42">
              <w:rPr>
                <w:rFonts w:cs="Arial"/>
                <w:color w:val="000000"/>
                <w:sz w:val="18"/>
                <w:szCs w:val="18"/>
                <w:lang w:val="en-US"/>
              </w:rPr>
              <w:t>7521 (1</w:t>
            </w:r>
            <w:r w:rsidR="00BF2C53" w:rsidRPr="00DB6D42">
              <w:rPr>
                <w:rFonts w:cs="Arial"/>
                <w:color w:val="000000"/>
                <w:sz w:val="18"/>
                <w:szCs w:val="18"/>
                <w:lang w:val="en-US"/>
              </w:rPr>
              <w:t>·</w:t>
            </w:r>
            <w:r w:rsidRPr="00DB6D42">
              <w:rPr>
                <w:rFonts w:cs="Arial"/>
                <w:color w:val="000000"/>
                <w:sz w:val="18"/>
                <w:szCs w:val="18"/>
                <w:lang w:val="en-US"/>
              </w:rPr>
              <w:t>1655)</w:t>
            </w:r>
          </w:p>
        </w:tc>
        <w:tc>
          <w:tcPr>
            <w:tcW w:w="1617" w:type="dxa"/>
            <w:shd w:val="clear" w:color="auto" w:fill="FFFFFF"/>
          </w:tcPr>
          <w:p w14:paraId="6CC6E3AB"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BF2C53" w:rsidRPr="00DB6D42">
              <w:rPr>
                <w:rFonts w:cs="Arial"/>
                <w:color w:val="000000"/>
                <w:sz w:val="18"/>
                <w:szCs w:val="18"/>
                <w:lang w:val="en-US"/>
              </w:rPr>
              <w:t>·</w:t>
            </w:r>
            <w:r w:rsidRPr="00DB6D42">
              <w:rPr>
                <w:rFonts w:cs="Arial"/>
                <w:color w:val="000000"/>
                <w:sz w:val="18"/>
                <w:szCs w:val="18"/>
                <w:lang w:val="en-US"/>
              </w:rPr>
              <w:t>6170 (0</w:t>
            </w:r>
            <w:r w:rsidR="00BF2C53" w:rsidRPr="00DB6D42">
              <w:rPr>
                <w:rFonts w:cs="Arial"/>
                <w:color w:val="000000"/>
                <w:sz w:val="18"/>
                <w:szCs w:val="18"/>
                <w:lang w:val="en-US"/>
              </w:rPr>
              <w:t>·</w:t>
            </w:r>
            <w:r w:rsidRPr="00DB6D42">
              <w:rPr>
                <w:rFonts w:cs="Arial"/>
                <w:color w:val="000000"/>
                <w:sz w:val="18"/>
                <w:szCs w:val="18"/>
                <w:lang w:val="en-US"/>
              </w:rPr>
              <w:t>8315)</w:t>
            </w:r>
          </w:p>
        </w:tc>
        <w:tc>
          <w:tcPr>
            <w:tcW w:w="1618" w:type="dxa"/>
            <w:shd w:val="clear" w:color="auto" w:fill="FFFFFF"/>
          </w:tcPr>
          <w:p w14:paraId="2518F7C8" w14:textId="77777777" w:rsidR="00B32B9F" w:rsidRPr="00DB6D42" w:rsidRDefault="00B32B9F"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BF2C53" w:rsidRPr="00DB6D42">
              <w:rPr>
                <w:rFonts w:cs="Arial"/>
                <w:color w:val="000000"/>
                <w:sz w:val="18"/>
                <w:szCs w:val="18"/>
                <w:lang w:val="en-US"/>
              </w:rPr>
              <w:t>·</w:t>
            </w:r>
            <w:r w:rsidRPr="00DB6D42">
              <w:rPr>
                <w:rFonts w:cs="Arial"/>
                <w:color w:val="000000"/>
                <w:sz w:val="18"/>
                <w:szCs w:val="18"/>
                <w:lang w:val="en-US"/>
              </w:rPr>
              <w:t>8251 (1</w:t>
            </w:r>
            <w:r w:rsidR="00BF2C53" w:rsidRPr="00DB6D42">
              <w:rPr>
                <w:rFonts w:cs="Arial"/>
                <w:color w:val="000000"/>
                <w:sz w:val="18"/>
                <w:szCs w:val="18"/>
                <w:lang w:val="en-US"/>
              </w:rPr>
              <w:t>·</w:t>
            </w:r>
            <w:r w:rsidRPr="00DB6D42">
              <w:rPr>
                <w:rFonts w:cs="Arial"/>
                <w:color w:val="000000"/>
                <w:sz w:val="18"/>
                <w:szCs w:val="18"/>
                <w:lang w:val="en-US"/>
              </w:rPr>
              <w:t>5640)</w:t>
            </w:r>
          </w:p>
        </w:tc>
      </w:tr>
      <w:tr w:rsidR="00B32B9F" w:rsidRPr="00DB6D42" w14:paraId="6697D7DA" w14:textId="77777777" w:rsidTr="009B032C">
        <w:trPr>
          <w:cantSplit/>
          <w:trHeight w:val="90"/>
          <w:tblHeader/>
          <w:jc w:val="center"/>
        </w:trPr>
        <w:tc>
          <w:tcPr>
            <w:tcW w:w="4266" w:type="dxa"/>
            <w:tcBorders>
              <w:bottom w:val="single" w:sz="4" w:space="0" w:color="auto"/>
            </w:tcBorders>
            <w:shd w:val="clear" w:color="auto" w:fill="FFFFFF"/>
            <w:vAlign w:val="center"/>
          </w:tcPr>
          <w:p w14:paraId="28E6BFD1" w14:textId="77777777" w:rsidR="00B32B9F" w:rsidRPr="00DB6D42" w:rsidRDefault="00B32B9F" w:rsidP="00BB5FF5">
            <w:pPr>
              <w:keepNext/>
              <w:adjustRightInd w:val="0"/>
              <w:spacing w:after="0"/>
              <w:rPr>
                <w:rFonts w:cs="Arial"/>
                <w:color w:val="000000"/>
                <w:sz w:val="18"/>
                <w:szCs w:val="18"/>
                <w:lang w:val="en-US"/>
              </w:rPr>
            </w:pPr>
          </w:p>
        </w:tc>
        <w:tc>
          <w:tcPr>
            <w:tcW w:w="1617" w:type="dxa"/>
            <w:tcBorders>
              <w:bottom w:val="single" w:sz="4" w:space="0" w:color="auto"/>
            </w:tcBorders>
            <w:shd w:val="clear" w:color="auto" w:fill="FFFFFF"/>
          </w:tcPr>
          <w:p w14:paraId="375976A4"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tcBorders>
              <w:bottom w:val="single" w:sz="4" w:space="0" w:color="auto"/>
            </w:tcBorders>
            <w:shd w:val="clear" w:color="auto" w:fill="FFFFFF"/>
          </w:tcPr>
          <w:p w14:paraId="7E293084" w14:textId="77777777" w:rsidR="00B32B9F" w:rsidRPr="00DB6D42" w:rsidRDefault="00B32B9F" w:rsidP="00BB5FF5">
            <w:pPr>
              <w:keepNext/>
              <w:adjustRightInd w:val="0"/>
              <w:spacing w:after="0"/>
              <w:jc w:val="center"/>
              <w:rPr>
                <w:rFonts w:cs="Arial"/>
                <w:color w:val="000000"/>
                <w:sz w:val="18"/>
                <w:szCs w:val="18"/>
                <w:lang w:val="en-US"/>
              </w:rPr>
            </w:pPr>
          </w:p>
        </w:tc>
        <w:tc>
          <w:tcPr>
            <w:tcW w:w="1617" w:type="dxa"/>
            <w:tcBorders>
              <w:bottom w:val="single" w:sz="4" w:space="0" w:color="auto"/>
            </w:tcBorders>
            <w:shd w:val="clear" w:color="auto" w:fill="FFFFFF"/>
          </w:tcPr>
          <w:p w14:paraId="0D3727F9"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tcBorders>
              <w:bottom w:val="single" w:sz="4" w:space="0" w:color="auto"/>
            </w:tcBorders>
            <w:shd w:val="clear" w:color="auto" w:fill="FFFFFF"/>
          </w:tcPr>
          <w:p w14:paraId="18054437" w14:textId="77777777" w:rsidR="00B32B9F" w:rsidRPr="00DB6D42" w:rsidRDefault="00B32B9F" w:rsidP="00BB5FF5">
            <w:pPr>
              <w:keepNext/>
              <w:adjustRightInd w:val="0"/>
              <w:spacing w:after="0"/>
              <w:jc w:val="center"/>
              <w:rPr>
                <w:rFonts w:cs="Arial"/>
                <w:color w:val="000000"/>
                <w:sz w:val="18"/>
                <w:szCs w:val="18"/>
                <w:lang w:val="en-US"/>
              </w:rPr>
            </w:pPr>
          </w:p>
        </w:tc>
        <w:tc>
          <w:tcPr>
            <w:tcW w:w="1617" w:type="dxa"/>
            <w:tcBorders>
              <w:bottom w:val="single" w:sz="4" w:space="0" w:color="auto"/>
            </w:tcBorders>
            <w:shd w:val="clear" w:color="auto" w:fill="FFFFFF"/>
          </w:tcPr>
          <w:p w14:paraId="1D16B3C5" w14:textId="77777777" w:rsidR="00B32B9F" w:rsidRPr="00DB6D42" w:rsidRDefault="00B32B9F" w:rsidP="00BB5FF5">
            <w:pPr>
              <w:keepNext/>
              <w:adjustRightInd w:val="0"/>
              <w:spacing w:after="0"/>
              <w:jc w:val="center"/>
              <w:rPr>
                <w:rFonts w:cs="Arial"/>
                <w:color w:val="000000"/>
                <w:sz w:val="18"/>
                <w:szCs w:val="18"/>
                <w:lang w:val="en-US"/>
              </w:rPr>
            </w:pPr>
          </w:p>
        </w:tc>
        <w:tc>
          <w:tcPr>
            <w:tcW w:w="1618" w:type="dxa"/>
            <w:tcBorders>
              <w:bottom w:val="single" w:sz="4" w:space="0" w:color="auto"/>
            </w:tcBorders>
            <w:shd w:val="clear" w:color="auto" w:fill="FFFFFF"/>
          </w:tcPr>
          <w:p w14:paraId="0AFB527A" w14:textId="77777777" w:rsidR="00B32B9F" w:rsidRPr="00DB6D42" w:rsidRDefault="00B32B9F" w:rsidP="00BB5FF5">
            <w:pPr>
              <w:keepNext/>
              <w:adjustRightInd w:val="0"/>
              <w:spacing w:after="0"/>
              <w:jc w:val="center"/>
              <w:rPr>
                <w:rFonts w:cs="Arial"/>
                <w:color w:val="000000"/>
                <w:sz w:val="18"/>
                <w:szCs w:val="18"/>
                <w:lang w:val="en-US"/>
              </w:rPr>
            </w:pPr>
          </w:p>
        </w:tc>
      </w:tr>
    </w:tbl>
    <w:p w14:paraId="6A40B59D" w14:textId="77777777" w:rsidR="00B32B9F" w:rsidRPr="00DB6D42" w:rsidRDefault="00B32B9F" w:rsidP="00BB5FF5">
      <w:pPr>
        <w:spacing w:before="80" w:after="80"/>
        <w:jc w:val="both"/>
        <w:rPr>
          <w:rFonts w:cs="Arial"/>
          <w:color w:val="000000"/>
          <w:sz w:val="18"/>
          <w:szCs w:val="18"/>
          <w:lang w:val="en-US"/>
        </w:rPr>
      </w:pPr>
      <w:r w:rsidRPr="00DB6D42">
        <w:rPr>
          <w:rFonts w:cs="Arial"/>
          <w:color w:val="000000"/>
          <w:sz w:val="18"/>
          <w:szCs w:val="18"/>
          <w:lang w:val="en-US"/>
        </w:rPr>
        <w:t xml:space="preserve">ALT, alanine transaminase; AST, aspartate transaminase; </w:t>
      </w:r>
      <w:r w:rsidR="004C3427" w:rsidRPr="00DB6D42">
        <w:rPr>
          <w:rFonts w:cs="Arial"/>
          <w:color w:val="000000"/>
          <w:sz w:val="18"/>
          <w:szCs w:val="18"/>
          <w:lang w:val="en-US"/>
        </w:rPr>
        <w:t xml:space="preserve">ELISA, </w:t>
      </w:r>
      <w:r w:rsidR="004C3427" w:rsidRPr="00DB6D42">
        <w:rPr>
          <w:sz w:val="18"/>
          <w:szCs w:val="18"/>
          <w:lang w:val="en-US"/>
        </w:rPr>
        <w:t xml:space="preserve">enzyme-linked immunosorbent assay; </w:t>
      </w:r>
      <w:r w:rsidR="004C3427" w:rsidRPr="00DB6D42">
        <w:rPr>
          <w:rFonts w:cs="Arial"/>
          <w:color w:val="000000"/>
          <w:sz w:val="18"/>
          <w:szCs w:val="18"/>
          <w:lang w:val="en-US"/>
        </w:rPr>
        <w:t>GGT, g</w:t>
      </w:r>
      <w:r w:rsidRPr="00DB6D42">
        <w:rPr>
          <w:rFonts w:cs="Arial"/>
          <w:color w:val="000000"/>
          <w:sz w:val="18"/>
          <w:szCs w:val="18"/>
          <w:lang w:val="en-US"/>
        </w:rPr>
        <w:t>amma-</w:t>
      </w:r>
      <w:proofErr w:type="spellStart"/>
      <w:r w:rsidRPr="00DB6D42">
        <w:rPr>
          <w:rFonts w:cs="Arial"/>
          <w:color w:val="000000"/>
          <w:sz w:val="18"/>
          <w:szCs w:val="18"/>
          <w:lang w:val="en-US"/>
        </w:rPr>
        <w:t>glutamyltranspeptidase</w:t>
      </w:r>
      <w:proofErr w:type="spellEnd"/>
      <w:r w:rsidRPr="00DB6D42">
        <w:rPr>
          <w:rFonts w:cs="Arial"/>
          <w:color w:val="000000"/>
          <w:sz w:val="18"/>
          <w:szCs w:val="18"/>
          <w:lang w:val="en-US"/>
        </w:rPr>
        <w:t>; qPCR, quantitative polymerase chain reaction; SD, standard deviation</w:t>
      </w:r>
    </w:p>
    <w:p w14:paraId="4F8425B2" w14:textId="77777777" w:rsidR="00B32B9F" w:rsidRPr="00DB6D42" w:rsidRDefault="00B32B9F" w:rsidP="00BB5FF5">
      <w:pPr>
        <w:spacing w:before="80" w:after="80"/>
        <w:jc w:val="both"/>
        <w:rPr>
          <w:b/>
          <w:lang w:val="en-US"/>
        </w:rPr>
      </w:pPr>
    </w:p>
    <w:p w14:paraId="6FBC9E2C" w14:textId="7B72B0E5" w:rsidR="00A61BDE" w:rsidRPr="00DB6D42" w:rsidRDefault="001C3AB7" w:rsidP="00BB5FF5">
      <w:pPr>
        <w:spacing w:before="80" w:after="80"/>
        <w:jc w:val="both"/>
        <w:rPr>
          <w:lang w:val="en-US"/>
        </w:rPr>
      </w:pPr>
      <w:r w:rsidRPr="00DB6D42">
        <w:rPr>
          <w:b/>
          <w:lang w:val="en-US"/>
        </w:rPr>
        <w:br w:type="page"/>
      </w:r>
      <w:r w:rsidR="00A61BDE" w:rsidRPr="00DB6D42">
        <w:rPr>
          <w:lang w:val="en-US"/>
        </w:rPr>
        <w:lastRenderedPageBreak/>
        <w:t xml:space="preserve">Table </w:t>
      </w:r>
      <w:r w:rsidR="00FD50EE" w:rsidRPr="00DB6D42">
        <w:rPr>
          <w:lang w:val="en-US"/>
        </w:rPr>
        <w:t>2</w:t>
      </w:r>
      <w:r w:rsidR="00A61BDE" w:rsidRPr="00DB6D42">
        <w:rPr>
          <w:lang w:val="en-US"/>
        </w:rPr>
        <w:t xml:space="preserve">. PCR assessment at D65 (EOT) and </w:t>
      </w:r>
      <w:r w:rsidR="002E6DBB" w:rsidRPr="00DB6D42">
        <w:rPr>
          <w:lang w:val="en-US"/>
        </w:rPr>
        <w:t>until</w:t>
      </w:r>
      <w:r w:rsidR="00A61BDE" w:rsidRPr="00DB6D42">
        <w:rPr>
          <w:lang w:val="en-US"/>
        </w:rPr>
        <w:t xml:space="preserve"> 12 months of follow up</w:t>
      </w:r>
    </w:p>
    <w:tbl>
      <w:tblPr>
        <w:tblW w:w="5000" w:type="pct"/>
        <w:jc w:val="center"/>
        <w:tblLayout w:type="fixed"/>
        <w:tblCellMar>
          <w:left w:w="0" w:type="dxa"/>
          <w:right w:w="0" w:type="dxa"/>
        </w:tblCellMar>
        <w:tblLook w:val="0000" w:firstRow="0" w:lastRow="0" w:firstColumn="0" w:lastColumn="0" w:noHBand="0" w:noVBand="0"/>
      </w:tblPr>
      <w:tblGrid>
        <w:gridCol w:w="5615"/>
        <w:gridCol w:w="1669"/>
        <w:gridCol w:w="1669"/>
        <w:gridCol w:w="1669"/>
        <w:gridCol w:w="1669"/>
        <w:gridCol w:w="1669"/>
      </w:tblGrid>
      <w:tr w:rsidR="003C0236" w:rsidRPr="00DB6D42" w14:paraId="1F8FDE48" w14:textId="77777777" w:rsidTr="00DD6FAC">
        <w:trPr>
          <w:cantSplit/>
          <w:trHeight w:hRule="exact" w:val="510"/>
          <w:tblHeader/>
          <w:jc w:val="center"/>
        </w:trPr>
        <w:tc>
          <w:tcPr>
            <w:tcW w:w="8556" w:type="dxa"/>
            <w:tcBorders>
              <w:top w:val="single" w:sz="4" w:space="0" w:color="auto"/>
              <w:bottom w:val="single" w:sz="4" w:space="0" w:color="auto"/>
            </w:tcBorders>
            <w:shd w:val="clear" w:color="auto" w:fill="FFFFFF"/>
            <w:vAlign w:val="center"/>
          </w:tcPr>
          <w:p w14:paraId="320CDF51" w14:textId="77777777" w:rsidR="003C0236" w:rsidRPr="00DB6D42" w:rsidRDefault="003C0236" w:rsidP="00BB5FF5">
            <w:pPr>
              <w:keepNext/>
              <w:adjustRightInd w:val="0"/>
              <w:spacing w:after="0"/>
              <w:rPr>
                <w:rFonts w:cs="Arial"/>
                <w:color w:val="000000"/>
                <w:sz w:val="18"/>
                <w:szCs w:val="18"/>
                <w:lang w:val="en-US"/>
              </w:rPr>
            </w:pPr>
          </w:p>
        </w:tc>
        <w:tc>
          <w:tcPr>
            <w:tcW w:w="2535" w:type="dxa"/>
            <w:tcBorders>
              <w:top w:val="single" w:sz="4" w:space="0" w:color="auto"/>
              <w:bottom w:val="single" w:sz="4" w:space="0" w:color="auto"/>
            </w:tcBorders>
            <w:shd w:val="clear" w:color="auto" w:fill="FFFFFF"/>
            <w:vAlign w:val="center"/>
          </w:tcPr>
          <w:p w14:paraId="32DFFE78" w14:textId="77777777" w:rsidR="003C0236" w:rsidRPr="00DB6D42" w:rsidRDefault="003C023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Placebo</w:t>
            </w:r>
            <w:r w:rsidRPr="00DB6D42">
              <w:rPr>
                <w:rFonts w:cs="Arial"/>
                <w:color w:val="000000"/>
                <w:sz w:val="18"/>
                <w:szCs w:val="18"/>
                <w:lang w:val="en-US"/>
              </w:rPr>
              <w:br/>
              <w:t>(n=47)</w:t>
            </w:r>
          </w:p>
        </w:tc>
        <w:tc>
          <w:tcPr>
            <w:tcW w:w="2535" w:type="dxa"/>
            <w:tcBorders>
              <w:top w:val="single" w:sz="4" w:space="0" w:color="auto"/>
              <w:bottom w:val="single" w:sz="4" w:space="0" w:color="auto"/>
            </w:tcBorders>
            <w:shd w:val="clear" w:color="auto" w:fill="FFFFFF"/>
            <w:vAlign w:val="center"/>
          </w:tcPr>
          <w:p w14:paraId="5632057A" w14:textId="77777777" w:rsidR="003C0236" w:rsidRPr="00DB6D42" w:rsidRDefault="003C023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LD</w:t>
            </w:r>
            <w:r w:rsidRPr="00DB6D42">
              <w:rPr>
                <w:rFonts w:cs="Arial"/>
                <w:color w:val="000000"/>
                <w:sz w:val="18"/>
                <w:szCs w:val="18"/>
                <w:lang w:val="en-US"/>
              </w:rPr>
              <w:br/>
              <w:t>(n=48)</w:t>
            </w:r>
          </w:p>
        </w:tc>
        <w:tc>
          <w:tcPr>
            <w:tcW w:w="2535" w:type="dxa"/>
            <w:tcBorders>
              <w:top w:val="single" w:sz="4" w:space="0" w:color="auto"/>
              <w:bottom w:val="single" w:sz="4" w:space="0" w:color="auto"/>
            </w:tcBorders>
            <w:shd w:val="clear" w:color="auto" w:fill="FFFFFF"/>
            <w:vAlign w:val="center"/>
          </w:tcPr>
          <w:p w14:paraId="580908E3" w14:textId="77777777" w:rsidR="003C0236" w:rsidRPr="00DB6D42" w:rsidRDefault="003C023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SD</w:t>
            </w:r>
            <w:r w:rsidRPr="00DB6D42">
              <w:rPr>
                <w:rFonts w:cs="Arial"/>
                <w:color w:val="000000"/>
                <w:sz w:val="18"/>
                <w:szCs w:val="18"/>
                <w:lang w:val="en-US"/>
              </w:rPr>
              <w:br/>
              <w:t>(n=46)</w:t>
            </w:r>
          </w:p>
        </w:tc>
        <w:tc>
          <w:tcPr>
            <w:tcW w:w="2535" w:type="dxa"/>
            <w:tcBorders>
              <w:top w:val="single" w:sz="4" w:space="0" w:color="auto"/>
              <w:bottom w:val="single" w:sz="4" w:space="0" w:color="auto"/>
            </w:tcBorders>
            <w:shd w:val="clear" w:color="auto" w:fill="FFFFFF"/>
            <w:vAlign w:val="center"/>
          </w:tcPr>
          <w:p w14:paraId="6DA6D80F" w14:textId="77777777" w:rsidR="003C0236" w:rsidRPr="00DB6D42" w:rsidRDefault="003C023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HD</w:t>
            </w:r>
            <w:r w:rsidRPr="00DB6D42">
              <w:rPr>
                <w:rFonts w:cs="Arial"/>
                <w:color w:val="000000"/>
                <w:sz w:val="18"/>
                <w:szCs w:val="18"/>
                <w:lang w:val="en-US"/>
              </w:rPr>
              <w:br/>
              <w:t>(n=45)</w:t>
            </w:r>
          </w:p>
        </w:tc>
        <w:tc>
          <w:tcPr>
            <w:tcW w:w="2535" w:type="dxa"/>
            <w:tcBorders>
              <w:top w:val="single" w:sz="4" w:space="0" w:color="auto"/>
              <w:bottom w:val="single" w:sz="4" w:space="0" w:color="auto"/>
            </w:tcBorders>
            <w:shd w:val="clear" w:color="auto" w:fill="FFFFFF"/>
            <w:vAlign w:val="center"/>
          </w:tcPr>
          <w:p w14:paraId="34BBB15C" w14:textId="77777777" w:rsidR="003C0236" w:rsidRPr="00DB6D42" w:rsidRDefault="003C023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BZN</w:t>
            </w:r>
            <w:r w:rsidRPr="00DB6D42">
              <w:rPr>
                <w:rFonts w:cs="Arial"/>
                <w:color w:val="000000"/>
                <w:sz w:val="18"/>
                <w:szCs w:val="18"/>
                <w:lang w:val="en-US"/>
              </w:rPr>
              <w:br/>
              <w:t>(N=45)</w:t>
            </w:r>
          </w:p>
        </w:tc>
      </w:tr>
      <w:tr w:rsidR="003C0236" w:rsidRPr="00DB6D42" w14:paraId="605249B9" w14:textId="77777777" w:rsidTr="009059E7">
        <w:trPr>
          <w:cantSplit/>
          <w:tblHeader/>
          <w:jc w:val="center"/>
        </w:trPr>
        <w:tc>
          <w:tcPr>
            <w:tcW w:w="8556" w:type="dxa"/>
            <w:tcBorders>
              <w:top w:val="single" w:sz="4" w:space="0" w:color="auto"/>
            </w:tcBorders>
            <w:shd w:val="clear" w:color="auto" w:fill="FFFFFF"/>
            <w:vAlign w:val="center"/>
          </w:tcPr>
          <w:p w14:paraId="6D4F2B0C" w14:textId="77777777" w:rsidR="003C0236" w:rsidRPr="00DB6D42" w:rsidRDefault="003C0236" w:rsidP="00BB5FF5">
            <w:pPr>
              <w:keepNext/>
              <w:adjustRightInd w:val="0"/>
              <w:spacing w:after="0"/>
              <w:rPr>
                <w:rFonts w:cs="Arial"/>
                <w:color w:val="000000"/>
                <w:sz w:val="18"/>
                <w:szCs w:val="18"/>
                <w:lang w:val="en-US"/>
              </w:rPr>
            </w:pPr>
            <w:r w:rsidRPr="00DB6D42">
              <w:rPr>
                <w:rFonts w:cs="Arial"/>
                <w:color w:val="000000"/>
                <w:sz w:val="18"/>
                <w:szCs w:val="18"/>
                <w:lang w:val="en-US"/>
              </w:rPr>
              <w:t>Parasite clearance at D65 (EOT)</w:t>
            </w:r>
          </w:p>
        </w:tc>
        <w:tc>
          <w:tcPr>
            <w:tcW w:w="2535" w:type="dxa"/>
            <w:tcBorders>
              <w:top w:val="single" w:sz="4" w:space="0" w:color="auto"/>
            </w:tcBorders>
            <w:shd w:val="clear" w:color="auto" w:fill="FFFFFF"/>
            <w:vAlign w:val="center"/>
          </w:tcPr>
          <w:p w14:paraId="113362B9" w14:textId="77777777" w:rsidR="003C0236" w:rsidRPr="00DB6D42" w:rsidRDefault="003C0236" w:rsidP="00BB5FF5">
            <w:pPr>
              <w:keepNext/>
              <w:adjustRightInd w:val="0"/>
              <w:spacing w:after="0"/>
              <w:jc w:val="center"/>
              <w:rPr>
                <w:rFonts w:cs="Arial"/>
                <w:color w:val="000000"/>
                <w:sz w:val="18"/>
                <w:szCs w:val="18"/>
                <w:lang w:val="en-US"/>
              </w:rPr>
            </w:pPr>
          </w:p>
        </w:tc>
        <w:tc>
          <w:tcPr>
            <w:tcW w:w="2535" w:type="dxa"/>
            <w:tcBorders>
              <w:top w:val="single" w:sz="4" w:space="0" w:color="auto"/>
            </w:tcBorders>
            <w:shd w:val="clear" w:color="auto" w:fill="FFFFFF"/>
            <w:vAlign w:val="center"/>
          </w:tcPr>
          <w:p w14:paraId="7B5F1451" w14:textId="77777777" w:rsidR="003C0236" w:rsidRPr="00DB6D42" w:rsidRDefault="003C0236" w:rsidP="00BB5FF5">
            <w:pPr>
              <w:keepNext/>
              <w:adjustRightInd w:val="0"/>
              <w:spacing w:after="0"/>
              <w:jc w:val="center"/>
              <w:rPr>
                <w:rFonts w:cs="Arial"/>
                <w:color w:val="000000"/>
                <w:sz w:val="18"/>
                <w:szCs w:val="18"/>
                <w:lang w:val="en-US"/>
              </w:rPr>
            </w:pPr>
          </w:p>
        </w:tc>
        <w:tc>
          <w:tcPr>
            <w:tcW w:w="2535" w:type="dxa"/>
            <w:tcBorders>
              <w:top w:val="single" w:sz="4" w:space="0" w:color="auto"/>
            </w:tcBorders>
            <w:shd w:val="clear" w:color="auto" w:fill="FFFFFF"/>
            <w:vAlign w:val="center"/>
          </w:tcPr>
          <w:p w14:paraId="099B61B6" w14:textId="77777777" w:rsidR="003C0236" w:rsidRPr="00DB6D42" w:rsidRDefault="003C0236" w:rsidP="00BB5FF5">
            <w:pPr>
              <w:keepNext/>
              <w:adjustRightInd w:val="0"/>
              <w:spacing w:after="0"/>
              <w:jc w:val="center"/>
              <w:rPr>
                <w:rFonts w:cs="Arial"/>
                <w:color w:val="000000"/>
                <w:sz w:val="18"/>
                <w:szCs w:val="18"/>
                <w:lang w:val="en-US"/>
              </w:rPr>
            </w:pPr>
          </w:p>
        </w:tc>
        <w:tc>
          <w:tcPr>
            <w:tcW w:w="2535" w:type="dxa"/>
            <w:tcBorders>
              <w:top w:val="single" w:sz="4" w:space="0" w:color="auto"/>
            </w:tcBorders>
            <w:shd w:val="clear" w:color="auto" w:fill="FFFFFF"/>
            <w:vAlign w:val="center"/>
          </w:tcPr>
          <w:p w14:paraId="29004761" w14:textId="77777777" w:rsidR="003C0236" w:rsidRPr="00DB6D42" w:rsidRDefault="003C0236" w:rsidP="00BB5FF5">
            <w:pPr>
              <w:keepNext/>
              <w:adjustRightInd w:val="0"/>
              <w:spacing w:after="0"/>
              <w:jc w:val="center"/>
              <w:rPr>
                <w:rFonts w:cs="Arial"/>
                <w:color w:val="000000"/>
                <w:sz w:val="18"/>
                <w:szCs w:val="18"/>
                <w:lang w:val="en-US"/>
              </w:rPr>
            </w:pPr>
          </w:p>
        </w:tc>
        <w:tc>
          <w:tcPr>
            <w:tcW w:w="2535" w:type="dxa"/>
            <w:tcBorders>
              <w:top w:val="single" w:sz="4" w:space="0" w:color="auto"/>
            </w:tcBorders>
            <w:shd w:val="clear" w:color="auto" w:fill="FFFFFF"/>
            <w:vAlign w:val="center"/>
          </w:tcPr>
          <w:p w14:paraId="0ABF19ED" w14:textId="77777777" w:rsidR="003C0236" w:rsidRPr="00DB6D42" w:rsidRDefault="003C0236" w:rsidP="00BB5FF5">
            <w:pPr>
              <w:keepNext/>
              <w:adjustRightInd w:val="0"/>
              <w:spacing w:after="0"/>
              <w:jc w:val="center"/>
              <w:rPr>
                <w:rFonts w:cs="Arial"/>
                <w:color w:val="000000"/>
                <w:sz w:val="18"/>
                <w:szCs w:val="18"/>
                <w:lang w:val="en-US"/>
              </w:rPr>
            </w:pPr>
          </w:p>
        </w:tc>
      </w:tr>
      <w:tr w:rsidR="003C0236" w:rsidRPr="00DB6D42" w14:paraId="685841BA" w14:textId="77777777" w:rsidTr="009059E7">
        <w:trPr>
          <w:cantSplit/>
          <w:jc w:val="center"/>
        </w:trPr>
        <w:tc>
          <w:tcPr>
            <w:tcW w:w="8556" w:type="dxa"/>
            <w:shd w:val="clear" w:color="auto" w:fill="FFFFFF"/>
          </w:tcPr>
          <w:p w14:paraId="40B9D88E" w14:textId="77777777" w:rsidR="003C0236" w:rsidRPr="00DB6D42" w:rsidRDefault="003C0236" w:rsidP="00BB5FF5">
            <w:pPr>
              <w:keepNext/>
              <w:adjustRightInd w:val="0"/>
              <w:spacing w:after="0"/>
              <w:rPr>
                <w:rFonts w:cs="Arial"/>
                <w:color w:val="000000"/>
                <w:sz w:val="18"/>
                <w:szCs w:val="18"/>
                <w:lang w:val="en-US"/>
              </w:rPr>
            </w:pPr>
            <w:r w:rsidRPr="00DB6D42">
              <w:rPr>
                <w:rFonts w:cs="Arial"/>
                <w:color w:val="000000"/>
                <w:sz w:val="18"/>
                <w:szCs w:val="18"/>
                <w:lang w:val="en-US"/>
              </w:rPr>
              <w:t>Yes, n (%)</w:t>
            </w:r>
          </w:p>
        </w:tc>
        <w:tc>
          <w:tcPr>
            <w:tcW w:w="2535" w:type="dxa"/>
            <w:shd w:val="clear" w:color="auto" w:fill="FFFFFF"/>
          </w:tcPr>
          <w:p w14:paraId="34B5A663" w14:textId="3DCE3567" w:rsidR="003C0236" w:rsidRPr="00DB6D42" w:rsidRDefault="003C023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12 (25</w:t>
            </w:r>
            <w:r w:rsidR="00BF2C53" w:rsidRPr="00DB6D42">
              <w:rPr>
                <w:rFonts w:cs="Arial"/>
                <w:color w:val="000000"/>
                <w:sz w:val="18"/>
                <w:szCs w:val="18"/>
                <w:lang w:val="en-US"/>
              </w:rPr>
              <w:t>·</w:t>
            </w:r>
            <w:r w:rsidRPr="00DB6D42">
              <w:rPr>
                <w:rFonts w:cs="Arial"/>
                <w:color w:val="000000"/>
                <w:sz w:val="18"/>
                <w:szCs w:val="18"/>
                <w:lang w:val="en-US"/>
              </w:rPr>
              <w:t>5</w:t>
            </w:r>
            <w:r w:rsidR="006134AB" w:rsidRPr="00DB6D42">
              <w:rPr>
                <w:rFonts w:cs="Arial"/>
                <w:color w:val="000000"/>
                <w:sz w:val="18"/>
                <w:szCs w:val="18"/>
                <w:lang w:val="en-US"/>
              </w:rPr>
              <w:t>, [13</w:t>
            </w:r>
            <w:r w:rsidR="00D041F0" w:rsidRPr="00DB6D42">
              <w:rPr>
                <w:lang w:val="en-US"/>
              </w:rPr>
              <w:t>·</w:t>
            </w:r>
            <w:r w:rsidR="006134AB" w:rsidRPr="00DB6D42">
              <w:rPr>
                <w:rFonts w:cs="Arial"/>
                <w:color w:val="000000"/>
                <w:sz w:val="18"/>
                <w:szCs w:val="18"/>
                <w:lang w:val="en-US"/>
              </w:rPr>
              <w:t>9;40</w:t>
            </w:r>
            <w:r w:rsidR="00D041F0" w:rsidRPr="00DB6D42">
              <w:rPr>
                <w:lang w:val="en-US"/>
              </w:rPr>
              <w:t>·</w:t>
            </w:r>
            <w:r w:rsidR="006134AB" w:rsidRPr="00DB6D42">
              <w:rPr>
                <w:rFonts w:cs="Arial"/>
                <w:color w:val="000000"/>
                <w:sz w:val="18"/>
                <w:szCs w:val="18"/>
                <w:lang w:val="en-US"/>
              </w:rPr>
              <w:t>3]</w:t>
            </w:r>
            <w:r w:rsidRPr="00DB6D42">
              <w:rPr>
                <w:rFonts w:cs="Arial"/>
                <w:color w:val="000000"/>
                <w:sz w:val="18"/>
                <w:szCs w:val="18"/>
                <w:lang w:val="en-US"/>
              </w:rPr>
              <w:t>)</w:t>
            </w:r>
          </w:p>
        </w:tc>
        <w:tc>
          <w:tcPr>
            <w:tcW w:w="2535" w:type="dxa"/>
            <w:shd w:val="clear" w:color="auto" w:fill="FFFFFF"/>
          </w:tcPr>
          <w:p w14:paraId="37BD05E6" w14:textId="747B6BD2" w:rsidR="003C0236" w:rsidRPr="00DB6D42" w:rsidRDefault="003C023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43 (89</w:t>
            </w:r>
            <w:r w:rsidR="00BF2C53" w:rsidRPr="00DB6D42">
              <w:rPr>
                <w:rFonts w:cs="Arial"/>
                <w:color w:val="000000"/>
                <w:sz w:val="18"/>
                <w:szCs w:val="18"/>
                <w:lang w:val="en-US"/>
              </w:rPr>
              <w:t>·</w:t>
            </w:r>
            <w:r w:rsidRPr="00DB6D42">
              <w:rPr>
                <w:rFonts w:cs="Arial"/>
                <w:color w:val="000000"/>
                <w:sz w:val="18"/>
                <w:szCs w:val="18"/>
                <w:lang w:val="en-US"/>
              </w:rPr>
              <w:t>6</w:t>
            </w:r>
            <w:r w:rsidR="006134AB" w:rsidRPr="00DB6D42">
              <w:rPr>
                <w:rFonts w:cs="Arial"/>
                <w:color w:val="000000"/>
                <w:sz w:val="18"/>
                <w:szCs w:val="18"/>
                <w:lang w:val="en-US"/>
              </w:rPr>
              <w:t>, [</w:t>
            </w:r>
            <w:r w:rsidR="00B71917" w:rsidRPr="00DB6D42">
              <w:rPr>
                <w:rFonts w:cs="Arial"/>
                <w:color w:val="000000"/>
                <w:sz w:val="18"/>
                <w:szCs w:val="18"/>
                <w:lang w:val="en-US"/>
              </w:rPr>
              <w:t>77</w:t>
            </w:r>
            <w:r w:rsidR="00D041F0" w:rsidRPr="00DB6D42">
              <w:rPr>
                <w:lang w:val="en-US"/>
              </w:rPr>
              <w:t>·</w:t>
            </w:r>
            <w:r w:rsidR="00B71917" w:rsidRPr="00DB6D42">
              <w:rPr>
                <w:rFonts w:cs="Arial"/>
                <w:color w:val="000000"/>
                <w:sz w:val="18"/>
                <w:szCs w:val="18"/>
                <w:lang w:val="en-US"/>
              </w:rPr>
              <w:t>3;96</w:t>
            </w:r>
            <w:r w:rsidR="00D041F0" w:rsidRPr="00DB6D42">
              <w:rPr>
                <w:lang w:val="en-US"/>
              </w:rPr>
              <w:t>·</w:t>
            </w:r>
            <w:r w:rsidR="00B71917" w:rsidRPr="00DB6D42">
              <w:rPr>
                <w:rFonts w:cs="Arial"/>
                <w:color w:val="000000"/>
                <w:sz w:val="18"/>
                <w:szCs w:val="18"/>
                <w:lang w:val="en-US"/>
              </w:rPr>
              <w:t>5</w:t>
            </w:r>
            <w:r w:rsidR="006134AB" w:rsidRPr="00DB6D42">
              <w:rPr>
                <w:rFonts w:cs="Arial"/>
                <w:color w:val="000000"/>
                <w:sz w:val="18"/>
                <w:szCs w:val="18"/>
                <w:lang w:val="en-US"/>
              </w:rPr>
              <w:t>]</w:t>
            </w:r>
            <w:r w:rsidRPr="00DB6D42">
              <w:rPr>
                <w:rFonts w:cs="Arial"/>
                <w:color w:val="000000"/>
                <w:sz w:val="18"/>
                <w:szCs w:val="18"/>
                <w:lang w:val="en-US"/>
              </w:rPr>
              <w:t>)</w:t>
            </w:r>
          </w:p>
        </w:tc>
        <w:tc>
          <w:tcPr>
            <w:tcW w:w="2535" w:type="dxa"/>
            <w:shd w:val="clear" w:color="auto" w:fill="FFFFFF"/>
          </w:tcPr>
          <w:p w14:paraId="69980B8A" w14:textId="7A879F54" w:rsidR="003C0236" w:rsidRPr="00DB6D42" w:rsidRDefault="003C023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41 (89</w:t>
            </w:r>
            <w:r w:rsidR="00BF2C53" w:rsidRPr="00DB6D42">
              <w:rPr>
                <w:rFonts w:cs="Arial"/>
                <w:color w:val="000000"/>
                <w:sz w:val="18"/>
                <w:szCs w:val="18"/>
                <w:lang w:val="en-US"/>
              </w:rPr>
              <w:t>·</w:t>
            </w:r>
            <w:r w:rsidRPr="00DB6D42">
              <w:rPr>
                <w:rFonts w:cs="Arial"/>
                <w:color w:val="000000"/>
                <w:sz w:val="18"/>
                <w:szCs w:val="18"/>
                <w:lang w:val="en-US"/>
              </w:rPr>
              <w:t>1</w:t>
            </w:r>
            <w:r w:rsidR="00B71917" w:rsidRPr="00DB6D42">
              <w:rPr>
                <w:rFonts w:cs="Arial"/>
                <w:color w:val="000000"/>
                <w:sz w:val="18"/>
                <w:szCs w:val="18"/>
                <w:lang w:val="en-US"/>
              </w:rPr>
              <w:t>, [76</w:t>
            </w:r>
            <w:r w:rsidR="00D041F0" w:rsidRPr="00DB6D42">
              <w:rPr>
                <w:lang w:val="en-US"/>
              </w:rPr>
              <w:t>·</w:t>
            </w:r>
            <w:r w:rsidR="00B71917" w:rsidRPr="00DB6D42">
              <w:rPr>
                <w:rFonts w:cs="Arial"/>
                <w:color w:val="000000"/>
                <w:sz w:val="18"/>
                <w:szCs w:val="18"/>
                <w:lang w:val="en-US"/>
              </w:rPr>
              <w:t>4;96</w:t>
            </w:r>
            <w:r w:rsidR="00D041F0" w:rsidRPr="00DB6D42">
              <w:rPr>
                <w:lang w:val="en-US"/>
              </w:rPr>
              <w:t>·</w:t>
            </w:r>
            <w:r w:rsidR="00B71917" w:rsidRPr="00DB6D42">
              <w:rPr>
                <w:rFonts w:cs="Arial"/>
                <w:color w:val="000000"/>
                <w:sz w:val="18"/>
                <w:szCs w:val="18"/>
                <w:lang w:val="en-US"/>
              </w:rPr>
              <w:t>3]</w:t>
            </w:r>
            <w:r w:rsidRPr="00DB6D42">
              <w:rPr>
                <w:rFonts w:cs="Arial"/>
                <w:color w:val="000000"/>
                <w:sz w:val="18"/>
                <w:szCs w:val="18"/>
                <w:lang w:val="en-US"/>
              </w:rPr>
              <w:t>)</w:t>
            </w:r>
          </w:p>
        </w:tc>
        <w:tc>
          <w:tcPr>
            <w:tcW w:w="2535" w:type="dxa"/>
            <w:shd w:val="clear" w:color="auto" w:fill="FFFFFF"/>
          </w:tcPr>
          <w:p w14:paraId="08FF95D0" w14:textId="365D1098" w:rsidR="003C0236" w:rsidRPr="00DB6D42" w:rsidRDefault="003C023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34 (75</w:t>
            </w:r>
            <w:r w:rsidR="00BF2C53" w:rsidRPr="00DB6D42">
              <w:rPr>
                <w:rFonts w:cs="Arial"/>
                <w:color w:val="000000"/>
                <w:sz w:val="18"/>
                <w:szCs w:val="18"/>
                <w:lang w:val="en-US"/>
              </w:rPr>
              <w:t>·</w:t>
            </w:r>
            <w:r w:rsidRPr="00DB6D42">
              <w:rPr>
                <w:rFonts w:cs="Arial"/>
                <w:color w:val="000000"/>
                <w:sz w:val="18"/>
                <w:szCs w:val="18"/>
                <w:lang w:val="en-US"/>
              </w:rPr>
              <w:t>6</w:t>
            </w:r>
            <w:r w:rsidR="00B71917" w:rsidRPr="00DB6D42">
              <w:rPr>
                <w:rFonts w:cs="Arial"/>
                <w:color w:val="000000"/>
                <w:sz w:val="18"/>
                <w:szCs w:val="18"/>
                <w:lang w:val="en-US"/>
              </w:rPr>
              <w:t>, [60</w:t>
            </w:r>
            <w:r w:rsidR="00D041F0" w:rsidRPr="00DB6D42">
              <w:rPr>
                <w:lang w:val="en-US"/>
              </w:rPr>
              <w:t>·</w:t>
            </w:r>
            <w:r w:rsidR="00B71917" w:rsidRPr="00DB6D42">
              <w:rPr>
                <w:rFonts w:cs="Arial"/>
                <w:color w:val="000000"/>
                <w:sz w:val="18"/>
                <w:szCs w:val="18"/>
                <w:lang w:val="en-US"/>
              </w:rPr>
              <w:t>4;87</w:t>
            </w:r>
            <w:r w:rsidR="00D041F0" w:rsidRPr="00DB6D42">
              <w:rPr>
                <w:lang w:val="en-US"/>
              </w:rPr>
              <w:t>·</w:t>
            </w:r>
            <w:r w:rsidR="00B71917" w:rsidRPr="00DB6D42">
              <w:rPr>
                <w:rFonts w:cs="Arial"/>
                <w:color w:val="000000"/>
                <w:sz w:val="18"/>
                <w:szCs w:val="18"/>
                <w:lang w:val="en-US"/>
              </w:rPr>
              <w:t>1]</w:t>
            </w:r>
            <w:r w:rsidRPr="00DB6D42">
              <w:rPr>
                <w:rFonts w:cs="Arial"/>
                <w:color w:val="000000"/>
                <w:sz w:val="18"/>
                <w:szCs w:val="18"/>
                <w:lang w:val="en-US"/>
              </w:rPr>
              <w:t>)</w:t>
            </w:r>
          </w:p>
        </w:tc>
        <w:tc>
          <w:tcPr>
            <w:tcW w:w="2535" w:type="dxa"/>
            <w:shd w:val="clear" w:color="auto" w:fill="FFFFFF"/>
          </w:tcPr>
          <w:p w14:paraId="5022F686" w14:textId="12585A30" w:rsidR="003C0236" w:rsidRPr="00DB6D42" w:rsidRDefault="003C023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41 (91</w:t>
            </w:r>
            <w:r w:rsidR="00BF2C53" w:rsidRPr="00DB6D42">
              <w:rPr>
                <w:rFonts w:cs="Arial"/>
                <w:color w:val="000000"/>
                <w:sz w:val="18"/>
                <w:szCs w:val="18"/>
                <w:lang w:val="en-US"/>
              </w:rPr>
              <w:t>·</w:t>
            </w:r>
            <w:r w:rsidRPr="00DB6D42">
              <w:rPr>
                <w:rFonts w:cs="Arial"/>
                <w:color w:val="000000"/>
                <w:sz w:val="18"/>
                <w:szCs w:val="18"/>
                <w:lang w:val="en-US"/>
              </w:rPr>
              <w:t>1</w:t>
            </w:r>
            <w:r w:rsidR="00B71917" w:rsidRPr="00DB6D42">
              <w:rPr>
                <w:rFonts w:cs="Arial"/>
                <w:color w:val="000000"/>
                <w:sz w:val="18"/>
                <w:szCs w:val="18"/>
                <w:lang w:val="en-US"/>
              </w:rPr>
              <w:t>, [78</w:t>
            </w:r>
            <w:r w:rsidR="00D041F0" w:rsidRPr="00DB6D42">
              <w:rPr>
                <w:lang w:val="en-US"/>
              </w:rPr>
              <w:t>·</w:t>
            </w:r>
            <w:r w:rsidR="00B71917" w:rsidRPr="00DB6D42">
              <w:rPr>
                <w:rFonts w:cs="Arial"/>
                <w:color w:val="000000"/>
                <w:sz w:val="18"/>
                <w:szCs w:val="18"/>
                <w:lang w:val="en-US"/>
              </w:rPr>
              <w:t>7;97</w:t>
            </w:r>
            <w:r w:rsidR="00D041F0" w:rsidRPr="00DB6D42">
              <w:rPr>
                <w:lang w:val="en-US"/>
              </w:rPr>
              <w:t>·</w:t>
            </w:r>
            <w:r w:rsidR="00B71917" w:rsidRPr="00DB6D42">
              <w:rPr>
                <w:rFonts w:cs="Arial"/>
                <w:color w:val="000000"/>
                <w:sz w:val="18"/>
                <w:szCs w:val="18"/>
                <w:lang w:val="en-US"/>
              </w:rPr>
              <w:t>5]</w:t>
            </w:r>
            <w:r w:rsidRPr="00DB6D42">
              <w:rPr>
                <w:rFonts w:cs="Arial"/>
                <w:color w:val="000000"/>
                <w:sz w:val="18"/>
                <w:szCs w:val="18"/>
                <w:lang w:val="en-US"/>
              </w:rPr>
              <w:t>)</w:t>
            </w:r>
          </w:p>
        </w:tc>
      </w:tr>
      <w:tr w:rsidR="00FE3F12" w:rsidRPr="00DB6D42" w14:paraId="7F7A3A63" w14:textId="77777777" w:rsidTr="009059E7">
        <w:trPr>
          <w:cantSplit/>
          <w:jc w:val="center"/>
        </w:trPr>
        <w:tc>
          <w:tcPr>
            <w:tcW w:w="8556" w:type="dxa"/>
            <w:shd w:val="clear" w:color="auto" w:fill="FFFFFF"/>
          </w:tcPr>
          <w:p w14:paraId="1CDE6E9D" w14:textId="77777777" w:rsidR="00FE3F12" w:rsidRPr="00DB6D42" w:rsidRDefault="00CC4C39" w:rsidP="00BB5FF5">
            <w:pPr>
              <w:keepNext/>
              <w:adjustRightInd w:val="0"/>
              <w:spacing w:after="0"/>
              <w:rPr>
                <w:rFonts w:cs="Arial"/>
                <w:color w:val="000000"/>
                <w:sz w:val="18"/>
                <w:szCs w:val="18"/>
                <w:lang w:val="en-US"/>
              </w:rPr>
            </w:pPr>
            <w:r w:rsidRPr="00DB6D42">
              <w:rPr>
                <w:rFonts w:cs="Arial"/>
                <w:color w:val="000000"/>
                <w:sz w:val="18"/>
                <w:szCs w:val="18"/>
                <w:lang w:val="en-US"/>
              </w:rPr>
              <w:t>p-value for comparison against placebo</w:t>
            </w:r>
          </w:p>
        </w:tc>
        <w:tc>
          <w:tcPr>
            <w:tcW w:w="2535" w:type="dxa"/>
            <w:shd w:val="clear" w:color="auto" w:fill="FFFFFF"/>
          </w:tcPr>
          <w:p w14:paraId="1C46420C" w14:textId="77777777" w:rsidR="00FE3F12" w:rsidRPr="00DB6D42" w:rsidRDefault="00FE3F12" w:rsidP="00BB5FF5">
            <w:pPr>
              <w:keepNext/>
              <w:adjustRightInd w:val="0"/>
              <w:spacing w:after="0"/>
              <w:jc w:val="center"/>
              <w:rPr>
                <w:rFonts w:cs="Arial"/>
                <w:color w:val="000000"/>
                <w:sz w:val="18"/>
                <w:szCs w:val="18"/>
                <w:lang w:val="en-US"/>
              </w:rPr>
            </w:pPr>
          </w:p>
        </w:tc>
        <w:tc>
          <w:tcPr>
            <w:tcW w:w="2535" w:type="dxa"/>
            <w:shd w:val="clear" w:color="auto" w:fill="FFFFFF"/>
          </w:tcPr>
          <w:p w14:paraId="4E608500" w14:textId="6288A260" w:rsidR="00FE3F12"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3</w:t>
            </w:r>
            <w:r w:rsidR="00D041F0" w:rsidRPr="00DB6D42">
              <w:rPr>
                <w:lang w:val="en-US"/>
              </w:rPr>
              <w:t>.</w:t>
            </w:r>
            <w:r w:rsidRPr="00DB6D42">
              <w:rPr>
                <w:rFonts w:cs="Arial"/>
                <w:color w:val="000000"/>
                <w:sz w:val="18"/>
                <w:szCs w:val="18"/>
                <w:lang w:val="en-US"/>
              </w:rPr>
              <w:t>10</w:t>
            </w:r>
            <w:r w:rsidRPr="00DB6D42">
              <w:rPr>
                <w:rFonts w:cs="Arial"/>
                <w:color w:val="000000"/>
                <w:sz w:val="18"/>
                <w:szCs w:val="18"/>
                <w:vertAlign w:val="superscript"/>
                <w:lang w:val="en-US"/>
              </w:rPr>
              <w:t>-10</w:t>
            </w:r>
          </w:p>
        </w:tc>
        <w:tc>
          <w:tcPr>
            <w:tcW w:w="2535" w:type="dxa"/>
            <w:shd w:val="clear" w:color="auto" w:fill="FFFFFF"/>
          </w:tcPr>
          <w:p w14:paraId="67DB2524" w14:textId="2ECA2CE5" w:rsidR="00FE3F12"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4</w:t>
            </w:r>
            <w:r w:rsidR="00D041F0" w:rsidRPr="00DB6D42">
              <w:rPr>
                <w:lang w:val="en-US"/>
              </w:rPr>
              <w:t>.</w:t>
            </w:r>
            <w:r w:rsidRPr="00DB6D42">
              <w:rPr>
                <w:rFonts w:cs="Arial"/>
                <w:color w:val="000000"/>
                <w:sz w:val="18"/>
                <w:szCs w:val="18"/>
                <w:lang w:val="en-US"/>
              </w:rPr>
              <w:t>10</w:t>
            </w:r>
            <w:r w:rsidRPr="00DB6D42">
              <w:rPr>
                <w:rFonts w:cs="Arial"/>
                <w:color w:val="000000"/>
                <w:sz w:val="18"/>
                <w:szCs w:val="18"/>
                <w:vertAlign w:val="superscript"/>
                <w:lang w:val="en-US"/>
              </w:rPr>
              <w:t>-10</w:t>
            </w:r>
          </w:p>
        </w:tc>
        <w:tc>
          <w:tcPr>
            <w:tcW w:w="2535" w:type="dxa"/>
            <w:shd w:val="clear" w:color="auto" w:fill="FFFFFF"/>
          </w:tcPr>
          <w:p w14:paraId="5D2CD59B" w14:textId="1D2915E0" w:rsidR="00FE3F12"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1</w:t>
            </w:r>
            <w:r w:rsidR="00D041F0" w:rsidRPr="00DB6D42">
              <w:rPr>
                <w:lang w:val="en-US"/>
              </w:rPr>
              <w:t>·</w:t>
            </w:r>
            <w:r w:rsidRPr="00DB6D42">
              <w:rPr>
                <w:rFonts w:cs="Arial"/>
                <w:color w:val="000000"/>
                <w:sz w:val="18"/>
                <w:szCs w:val="18"/>
                <w:lang w:val="en-US"/>
              </w:rPr>
              <w:t>43.10</w:t>
            </w:r>
            <w:r w:rsidRPr="00DB6D42">
              <w:rPr>
                <w:rFonts w:cs="Arial"/>
                <w:color w:val="000000"/>
                <w:sz w:val="18"/>
                <w:szCs w:val="18"/>
                <w:vertAlign w:val="superscript"/>
                <w:lang w:val="en-US"/>
              </w:rPr>
              <w:t>-6</w:t>
            </w:r>
          </w:p>
        </w:tc>
        <w:tc>
          <w:tcPr>
            <w:tcW w:w="2535" w:type="dxa"/>
            <w:shd w:val="clear" w:color="auto" w:fill="FFFFFF"/>
          </w:tcPr>
          <w:p w14:paraId="1C0B7AFF" w14:textId="4C38ED31" w:rsidR="00FE3F12"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5</w:t>
            </w:r>
            <w:r w:rsidR="00D041F0" w:rsidRPr="00DB6D42">
              <w:rPr>
                <w:lang w:val="en-US"/>
              </w:rPr>
              <w:t>·</w:t>
            </w:r>
            <w:r w:rsidRPr="00DB6D42">
              <w:rPr>
                <w:rFonts w:cs="Arial"/>
                <w:color w:val="000000"/>
                <w:sz w:val="18"/>
                <w:szCs w:val="18"/>
                <w:lang w:val="en-US"/>
              </w:rPr>
              <w:t>63.10</w:t>
            </w:r>
            <w:r w:rsidRPr="00DB6D42">
              <w:rPr>
                <w:rFonts w:cs="Arial"/>
                <w:color w:val="000000"/>
                <w:sz w:val="18"/>
                <w:szCs w:val="18"/>
                <w:vertAlign w:val="superscript"/>
                <w:lang w:val="en-US"/>
              </w:rPr>
              <w:t>-11</w:t>
            </w:r>
          </w:p>
        </w:tc>
      </w:tr>
      <w:tr w:rsidR="003C0236" w:rsidRPr="00DB6D42" w14:paraId="33483DD1" w14:textId="77777777" w:rsidTr="009059E7">
        <w:trPr>
          <w:cantSplit/>
          <w:jc w:val="center"/>
        </w:trPr>
        <w:tc>
          <w:tcPr>
            <w:tcW w:w="8556" w:type="dxa"/>
            <w:shd w:val="clear" w:color="auto" w:fill="FFFFFF"/>
          </w:tcPr>
          <w:p w14:paraId="0F1ED92F" w14:textId="77777777" w:rsidR="003C0236" w:rsidRPr="00DB6D42" w:rsidRDefault="003C0236" w:rsidP="00BB5FF5">
            <w:pPr>
              <w:keepNext/>
              <w:adjustRightInd w:val="0"/>
              <w:spacing w:after="0"/>
              <w:rPr>
                <w:rFonts w:cs="Arial"/>
                <w:color w:val="000000"/>
                <w:sz w:val="18"/>
                <w:szCs w:val="18"/>
                <w:lang w:val="en-US"/>
              </w:rPr>
            </w:pPr>
          </w:p>
        </w:tc>
        <w:tc>
          <w:tcPr>
            <w:tcW w:w="2535" w:type="dxa"/>
            <w:shd w:val="clear" w:color="auto" w:fill="FFFFFF"/>
          </w:tcPr>
          <w:p w14:paraId="2D7EA53C" w14:textId="77777777" w:rsidR="003C0236" w:rsidRPr="00DB6D42" w:rsidRDefault="003C0236" w:rsidP="00BB5FF5">
            <w:pPr>
              <w:keepNext/>
              <w:adjustRightInd w:val="0"/>
              <w:spacing w:after="0"/>
              <w:jc w:val="center"/>
              <w:rPr>
                <w:rFonts w:cs="Arial"/>
                <w:color w:val="000000"/>
                <w:sz w:val="18"/>
                <w:szCs w:val="18"/>
                <w:lang w:val="en-US"/>
              </w:rPr>
            </w:pPr>
          </w:p>
        </w:tc>
        <w:tc>
          <w:tcPr>
            <w:tcW w:w="2535" w:type="dxa"/>
            <w:shd w:val="clear" w:color="auto" w:fill="FFFFFF"/>
          </w:tcPr>
          <w:p w14:paraId="6E95BB5F" w14:textId="77777777" w:rsidR="003C0236" w:rsidRPr="00DB6D42" w:rsidRDefault="003C0236" w:rsidP="00BB5FF5">
            <w:pPr>
              <w:keepNext/>
              <w:adjustRightInd w:val="0"/>
              <w:spacing w:after="0"/>
              <w:jc w:val="center"/>
              <w:rPr>
                <w:rFonts w:cs="Arial"/>
                <w:color w:val="000000"/>
                <w:sz w:val="18"/>
                <w:szCs w:val="18"/>
                <w:lang w:val="en-US"/>
              </w:rPr>
            </w:pPr>
          </w:p>
        </w:tc>
        <w:tc>
          <w:tcPr>
            <w:tcW w:w="2535" w:type="dxa"/>
            <w:shd w:val="clear" w:color="auto" w:fill="FFFFFF"/>
          </w:tcPr>
          <w:p w14:paraId="01421DC8" w14:textId="77777777" w:rsidR="003C0236" w:rsidRPr="00DB6D42" w:rsidRDefault="003C0236" w:rsidP="00BB5FF5">
            <w:pPr>
              <w:keepNext/>
              <w:adjustRightInd w:val="0"/>
              <w:spacing w:after="0"/>
              <w:jc w:val="center"/>
              <w:rPr>
                <w:rFonts w:cs="Arial"/>
                <w:color w:val="000000"/>
                <w:sz w:val="18"/>
                <w:szCs w:val="18"/>
                <w:lang w:val="en-US"/>
              </w:rPr>
            </w:pPr>
          </w:p>
        </w:tc>
        <w:tc>
          <w:tcPr>
            <w:tcW w:w="2535" w:type="dxa"/>
            <w:shd w:val="clear" w:color="auto" w:fill="FFFFFF"/>
          </w:tcPr>
          <w:p w14:paraId="607D3548" w14:textId="77777777" w:rsidR="003C0236" w:rsidRPr="00DB6D42" w:rsidRDefault="003C0236" w:rsidP="00BB5FF5">
            <w:pPr>
              <w:keepNext/>
              <w:adjustRightInd w:val="0"/>
              <w:spacing w:after="0"/>
              <w:jc w:val="center"/>
              <w:rPr>
                <w:rFonts w:cs="Arial"/>
                <w:color w:val="000000"/>
                <w:sz w:val="18"/>
                <w:szCs w:val="18"/>
                <w:lang w:val="en-US"/>
              </w:rPr>
            </w:pPr>
          </w:p>
        </w:tc>
        <w:tc>
          <w:tcPr>
            <w:tcW w:w="2535" w:type="dxa"/>
            <w:shd w:val="clear" w:color="auto" w:fill="FFFFFF"/>
          </w:tcPr>
          <w:p w14:paraId="3E71EAC4" w14:textId="77777777" w:rsidR="003C0236" w:rsidRPr="00DB6D42" w:rsidRDefault="003C0236" w:rsidP="00BB5FF5">
            <w:pPr>
              <w:keepNext/>
              <w:adjustRightInd w:val="0"/>
              <w:spacing w:after="0"/>
              <w:jc w:val="center"/>
              <w:rPr>
                <w:rFonts w:cs="Arial"/>
                <w:color w:val="000000"/>
                <w:sz w:val="18"/>
                <w:szCs w:val="18"/>
                <w:lang w:val="en-US"/>
              </w:rPr>
            </w:pPr>
          </w:p>
        </w:tc>
      </w:tr>
      <w:tr w:rsidR="003C0236" w:rsidRPr="00DB6D42" w14:paraId="64AACADA" w14:textId="77777777" w:rsidTr="009059E7">
        <w:trPr>
          <w:cantSplit/>
          <w:jc w:val="center"/>
        </w:trPr>
        <w:tc>
          <w:tcPr>
            <w:tcW w:w="8556" w:type="dxa"/>
            <w:shd w:val="clear" w:color="auto" w:fill="FFFFFF"/>
          </w:tcPr>
          <w:p w14:paraId="757841E1" w14:textId="79F92EF5" w:rsidR="003C0236" w:rsidRPr="00DB6D42" w:rsidRDefault="00FE3F12" w:rsidP="00BB5FF5">
            <w:pPr>
              <w:keepNext/>
              <w:adjustRightInd w:val="0"/>
              <w:spacing w:after="0"/>
              <w:rPr>
                <w:rFonts w:cs="Arial"/>
                <w:color w:val="000000"/>
                <w:sz w:val="18"/>
                <w:szCs w:val="18"/>
                <w:lang w:val="en-US"/>
              </w:rPr>
            </w:pPr>
            <w:r w:rsidRPr="00DB6D42">
              <w:rPr>
                <w:rFonts w:cs="Arial"/>
                <w:color w:val="000000"/>
                <w:sz w:val="18"/>
                <w:szCs w:val="18"/>
                <w:lang w:val="en-US"/>
              </w:rPr>
              <w:t xml:space="preserve">Sustainability of parasitological </w:t>
            </w:r>
            <w:r w:rsidR="002E6DBB" w:rsidRPr="00DB6D42">
              <w:rPr>
                <w:rFonts w:cs="Arial"/>
                <w:color w:val="000000"/>
                <w:sz w:val="18"/>
                <w:szCs w:val="18"/>
                <w:lang w:val="en-US"/>
              </w:rPr>
              <w:t xml:space="preserve">until </w:t>
            </w:r>
            <w:r w:rsidR="003C0236" w:rsidRPr="00DB6D42">
              <w:rPr>
                <w:rFonts w:cs="Arial"/>
                <w:color w:val="000000"/>
                <w:sz w:val="18"/>
                <w:szCs w:val="18"/>
                <w:lang w:val="en-US"/>
              </w:rPr>
              <w:t>12 months of follow up</w:t>
            </w:r>
          </w:p>
        </w:tc>
        <w:tc>
          <w:tcPr>
            <w:tcW w:w="2535" w:type="dxa"/>
            <w:shd w:val="clear" w:color="auto" w:fill="FFFFFF"/>
          </w:tcPr>
          <w:p w14:paraId="21845578" w14:textId="77777777" w:rsidR="003C0236" w:rsidRPr="00DB6D42" w:rsidRDefault="003C0236" w:rsidP="00BB5FF5">
            <w:pPr>
              <w:keepNext/>
              <w:adjustRightInd w:val="0"/>
              <w:spacing w:after="0"/>
              <w:jc w:val="center"/>
              <w:rPr>
                <w:rFonts w:cs="Arial"/>
                <w:color w:val="000000"/>
                <w:sz w:val="18"/>
                <w:szCs w:val="18"/>
                <w:lang w:val="en-US"/>
              </w:rPr>
            </w:pPr>
          </w:p>
        </w:tc>
        <w:tc>
          <w:tcPr>
            <w:tcW w:w="2535" w:type="dxa"/>
            <w:shd w:val="clear" w:color="auto" w:fill="FFFFFF"/>
          </w:tcPr>
          <w:p w14:paraId="6CCF9277" w14:textId="77777777" w:rsidR="003C0236" w:rsidRPr="00DB6D42" w:rsidRDefault="003C0236" w:rsidP="00BB5FF5">
            <w:pPr>
              <w:keepNext/>
              <w:adjustRightInd w:val="0"/>
              <w:spacing w:after="0"/>
              <w:jc w:val="center"/>
              <w:rPr>
                <w:rFonts w:cs="Arial"/>
                <w:color w:val="000000"/>
                <w:sz w:val="18"/>
                <w:szCs w:val="18"/>
                <w:lang w:val="en-US"/>
              </w:rPr>
            </w:pPr>
          </w:p>
        </w:tc>
        <w:tc>
          <w:tcPr>
            <w:tcW w:w="2535" w:type="dxa"/>
            <w:shd w:val="clear" w:color="auto" w:fill="FFFFFF"/>
          </w:tcPr>
          <w:p w14:paraId="7232D012" w14:textId="77777777" w:rsidR="003C0236" w:rsidRPr="00DB6D42" w:rsidRDefault="003C0236" w:rsidP="00BB5FF5">
            <w:pPr>
              <w:keepNext/>
              <w:adjustRightInd w:val="0"/>
              <w:spacing w:after="0"/>
              <w:jc w:val="center"/>
              <w:rPr>
                <w:rFonts w:cs="Arial"/>
                <w:color w:val="000000"/>
                <w:sz w:val="18"/>
                <w:szCs w:val="18"/>
                <w:lang w:val="en-US"/>
              </w:rPr>
            </w:pPr>
          </w:p>
        </w:tc>
        <w:tc>
          <w:tcPr>
            <w:tcW w:w="2535" w:type="dxa"/>
            <w:shd w:val="clear" w:color="auto" w:fill="FFFFFF"/>
          </w:tcPr>
          <w:p w14:paraId="226531A9" w14:textId="77777777" w:rsidR="003C0236" w:rsidRPr="00DB6D42" w:rsidRDefault="003C0236" w:rsidP="00BB5FF5">
            <w:pPr>
              <w:keepNext/>
              <w:adjustRightInd w:val="0"/>
              <w:spacing w:after="0"/>
              <w:jc w:val="center"/>
              <w:rPr>
                <w:rFonts w:cs="Arial"/>
                <w:color w:val="000000"/>
                <w:sz w:val="18"/>
                <w:szCs w:val="18"/>
                <w:lang w:val="en-US"/>
              </w:rPr>
            </w:pPr>
          </w:p>
        </w:tc>
        <w:tc>
          <w:tcPr>
            <w:tcW w:w="2535" w:type="dxa"/>
            <w:shd w:val="clear" w:color="auto" w:fill="FFFFFF"/>
          </w:tcPr>
          <w:p w14:paraId="1F2EE242" w14:textId="77777777" w:rsidR="003C0236" w:rsidRPr="00DB6D42" w:rsidRDefault="003C0236" w:rsidP="00BB5FF5">
            <w:pPr>
              <w:keepNext/>
              <w:adjustRightInd w:val="0"/>
              <w:spacing w:after="0"/>
              <w:jc w:val="center"/>
              <w:rPr>
                <w:rFonts w:cs="Arial"/>
                <w:color w:val="000000"/>
                <w:sz w:val="18"/>
                <w:szCs w:val="18"/>
                <w:lang w:val="en-US"/>
              </w:rPr>
            </w:pPr>
          </w:p>
        </w:tc>
      </w:tr>
      <w:tr w:rsidR="003C0236" w:rsidRPr="00DB6D42" w14:paraId="508E16B5" w14:textId="77777777" w:rsidTr="009059E7">
        <w:trPr>
          <w:cantSplit/>
          <w:jc w:val="center"/>
        </w:trPr>
        <w:tc>
          <w:tcPr>
            <w:tcW w:w="8556" w:type="dxa"/>
            <w:shd w:val="clear" w:color="auto" w:fill="FFFFFF"/>
          </w:tcPr>
          <w:p w14:paraId="43768BD7" w14:textId="77777777" w:rsidR="003C0236" w:rsidRPr="00DB6D42" w:rsidRDefault="003C0236" w:rsidP="00BB5FF5">
            <w:pPr>
              <w:keepNext/>
              <w:adjustRightInd w:val="0"/>
              <w:spacing w:after="0"/>
              <w:rPr>
                <w:rFonts w:cs="Arial"/>
                <w:color w:val="000000"/>
                <w:sz w:val="18"/>
                <w:szCs w:val="18"/>
                <w:lang w:val="en-US"/>
              </w:rPr>
            </w:pPr>
            <w:r w:rsidRPr="00DB6D42">
              <w:rPr>
                <w:rFonts w:cs="Arial"/>
                <w:color w:val="000000"/>
                <w:sz w:val="18"/>
                <w:szCs w:val="18"/>
                <w:lang w:val="en-US"/>
              </w:rPr>
              <w:t>Yes, n (%)</w:t>
            </w:r>
          </w:p>
        </w:tc>
        <w:tc>
          <w:tcPr>
            <w:tcW w:w="2535" w:type="dxa"/>
            <w:shd w:val="clear" w:color="auto" w:fill="FFFFFF"/>
          </w:tcPr>
          <w:p w14:paraId="35DF9FA2" w14:textId="26CD8053" w:rsidR="003C0236" w:rsidRPr="00DB6D42" w:rsidRDefault="003C023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4 (8</w:t>
            </w:r>
            <w:r w:rsidR="00BF2C53" w:rsidRPr="00DB6D42">
              <w:rPr>
                <w:rFonts w:cs="Arial"/>
                <w:color w:val="000000"/>
                <w:sz w:val="18"/>
                <w:szCs w:val="18"/>
                <w:lang w:val="en-US"/>
              </w:rPr>
              <w:t>·</w:t>
            </w:r>
            <w:r w:rsidRPr="00DB6D42">
              <w:rPr>
                <w:rFonts w:cs="Arial"/>
                <w:color w:val="000000"/>
                <w:sz w:val="18"/>
                <w:szCs w:val="18"/>
                <w:lang w:val="en-US"/>
              </w:rPr>
              <w:t>5</w:t>
            </w:r>
            <w:r w:rsidR="004A1851" w:rsidRPr="00DB6D42">
              <w:rPr>
                <w:rFonts w:cs="Arial"/>
                <w:color w:val="000000"/>
                <w:sz w:val="18"/>
                <w:szCs w:val="18"/>
                <w:lang w:val="en-US"/>
              </w:rPr>
              <w:t>, [</w:t>
            </w:r>
            <w:r w:rsidR="00B71917" w:rsidRPr="00DB6D42">
              <w:rPr>
                <w:rFonts w:cs="Arial"/>
                <w:color w:val="000000"/>
                <w:sz w:val="18"/>
                <w:szCs w:val="18"/>
                <w:lang w:val="en-US"/>
              </w:rPr>
              <w:t>2</w:t>
            </w:r>
            <w:r w:rsidR="00D041F0" w:rsidRPr="00DB6D42">
              <w:rPr>
                <w:lang w:val="en-US"/>
              </w:rPr>
              <w:t>·</w:t>
            </w:r>
            <w:r w:rsidR="00B71917" w:rsidRPr="00DB6D42">
              <w:rPr>
                <w:rFonts w:cs="Arial"/>
                <w:color w:val="000000"/>
                <w:sz w:val="18"/>
                <w:szCs w:val="18"/>
                <w:lang w:val="en-US"/>
              </w:rPr>
              <w:t>4;20</w:t>
            </w:r>
            <w:r w:rsidR="00D041F0" w:rsidRPr="00DB6D42">
              <w:rPr>
                <w:lang w:val="en-US"/>
              </w:rPr>
              <w:t>·</w:t>
            </w:r>
            <w:r w:rsidR="00B71917" w:rsidRPr="00DB6D42">
              <w:rPr>
                <w:rFonts w:cs="Arial"/>
                <w:color w:val="000000"/>
                <w:sz w:val="18"/>
                <w:szCs w:val="18"/>
                <w:lang w:val="en-US"/>
              </w:rPr>
              <w:t>4</w:t>
            </w:r>
            <w:r w:rsidR="004A1851" w:rsidRPr="00DB6D42">
              <w:rPr>
                <w:rFonts w:cs="Arial"/>
                <w:color w:val="000000"/>
                <w:sz w:val="18"/>
                <w:szCs w:val="18"/>
                <w:lang w:val="en-US"/>
              </w:rPr>
              <w:t>]</w:t>
            </w:r>
            <w:r w:rsidRPr="00DB6D42">
              <w:rPr>
                <w:rFonts w:cs="Arial"/>
                <w:color w:val="000000"/>
                <w:sz w:val="18"/>
                <w:szCs w:val="18"/>
                <w:lang w:val="en-US"/>
              </w:rPr>
              <w:t>)</w:t>
            </w:r>
          </w:p>
        </w:tc>
        <w:tc>
          <w:tcPr>
            <w:tcW w:w="2535" w:type="dxa"/>
            <w:shd w:val="clear" w:color="auto" w:fill="FFFFFF"/>
          </w:tcPr>
          <w:p w14:paraId="5EFBCC3D" w14:textId="61151DD6" w:rsidR="003C0236" w:rsidRPr="00DB6D42" w:rsidRDefault="003C023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4 (8</w:t>
            </w:r>
            <w:r w:rsidR="00BF2C53" w:rsidRPr="00DB6D42">
              <w:rPr>
                <w:rFonts w:cs="Arial"/>
                <w:color w:val="000000"/>
                <w:sz w:val="18"/>
                <w:szCs w:val="18"/>
                <w:lang w:val="en-US"/>
              </w:rPr>
              <w:t>·</w:t>
            </w:r>
            <w:r w:rsidRPr="00DB6D42">
              <w:rPr>
                <w:rFonts w:cs="Arial"/>
                <w:color w:val="000000"/>
                <w:sz w:val="18"/>
                <w:szCs w:val="18"/>
                <w:lang w:val="en-US"/>
              </w:rPr>
              <w:t>3</w:t>
            </w:r>
            <w:r w:rsidR="00B71917" w:rsidRPr="00DB6D42">
              <w:rPr>
                <w:rFonts w:cs="Arial"/>
                <w:color w:val="000000"/>
                <w:sz w:val="18"/>
                <w:szCs w:val="18"/>
                <w:lang w:val="en-US"/>
              </w:rPr>
              <w:t>, [2</w:t>
            </w:r>
            <w:r w:rsidR="00D041F0" w:rsidRPr="00DB6D42">
              <w:rPr>
                <w:lang w:val="en-US"/>
              </w:rPr>
              <w:t>·</w:t>
            </w:r>
            <w:r w:rsidR="00B71917" w:rsidRPr="00DB6D42">
              <w:rPr>
                <w:rFonts w:cs="Arial"/>
                <w:color w:val="000000"/>
                <w:sz w:val="18"/>
                <w:szCs w:val="18"/>
                <w:lang w:val="en-US"/>
              </w:rPr>
              <w:t>3;20</w:t>
            </w:r>
            <w:r w:rsidR="00D041F0" w:rsidRPr="00DB6D42">
              <w:rPr>
                <w:lang w:val="en-US"/>
              </w:rPr>
              <w:t>·</w:t>
            </w:r>
            <w:r w:rsidR="00B71917" w:rsidRPr="00DB6D42">
              <w:rPr>
                <w:rFonts w:cs="Arial"/>
                <w:color w:val="000000"/>
                <w:sz w:val="18"/>
                <w:szCs w:val="18"/>
                <w:lang w:val="en-US"/>
              </w:rPr>
              <w:t>0]</w:t>
            </w:r>
            <w:r w:rsidRPr="00DB6D42">
              <w:rPr>
                <w:rFonts w:cs="Arial"/>
                <w:color w:val="000000"/>
                <w:sz w:val="18"/>
                <w:szCs w:val="18"/>
                <w:lang w:val="en-US"/>
              </w:rPr>
              <w:t>)</w:t>
            </w:r>
          </w:p>
        </w:tc>
        <w:tc>
          <w:tcPr>
            <w:tcW w:w="2535" w:type="dxa"/>
            <w:shd w:val="clear" w:color="auto" w:fill="FFFFFF"/>
          </w:tcPr>
          <w:p w14:paraId="7CD71773" w14:textId="185629AD" w:rsidR="003C0236" w:rsidRPr="00DB6D42" w:rsidRDefault="003C023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5 (10</w:t>
            </w:r>
            <w:r w:rsidR="00BF2C53" w:rsidRPr="00DB6D42">
              <w:rPr>
                <w:rFonts w:cs="Arial"/>
                <w:color w:val="000000"/>
                <w:sz w:val="18"/>
                <w:szCs w:val="18"/>
                <w:lang w:val="en-US"/>
              </w:rPr>
              <w:t>·</w:t>
            </w:r>
            <w:r w:rsidRPr="00DB6D42">
              <w:rPr>
                <w:rFonts w:cs="Arial"/>
                <w:color w:val="000000"/>
                <w:sz w:val="18"/>
                <w:szCs w:val="18"/>
                <w:lang w:val="en-US"/>
              </w:rPr>
              <w:t>9</w:t>
            </w:r>
            <w:r w:rsidR="00B71917" w:rsidRPr="00DB6D42">
              <w:rPr>
                <w:rFonts w:cs="Arial"/>
                <w:color w:val="000000"/>
                <w:sz w:val="18"/>
                <w:szCs w:val="18"/>
                <w:lang w:val="en-US"/>
              </w:rPr>
              <w:t>, [3</w:t>
            </w:r>
            <w:r w:rsidR="00D041F0" w:rsidRPr="00DB6D42">
              <w:rPr>
                <w:lang w:val="en-US"/>
              </w:rPr>
              <w:t>·</w:t>
            </w:r>
            <w:r w:rsidR="00B71917" w:rsidRPr="00DB6D42">
              <w:rPr>
                <w:rFonts w:cs="Arial"/>
                <w:color w:val="000000"/>
                <w:sz w:val="18"/>
                <w:szCs w:val="18"/>
                <w:lang w:val="en-US"/>
              </w:rPr>
              <w:t>6;23</w:t>
            </w:r>
            <w:r w:rsidR="00D041F0" w:rsidRPr="00DB6D42">
              <w:rPr>
                <w:lang w:val="en-US"/>
              </w:rPr>
              <w:t>·</w:t>
            </w:r>
            <w:r w:rsidR="00B71917" w:rsidRPr="00DB6D42">
              <w:rPr>
                <w:rFonts w:cs="Arial"/>
                <w:color w:val="000000"/>
                <w:sz w:val="18"/>
                <w:szCs w:val="18"/>
                <w:lang w:val="en-US"/>
              </w:rPr>
              <w:t>6]</w:t>
            </w:r>
            <w:r w:rsidRPr="00DB6D42">
              <w:rPr>
                <w:rFonts w:cs="Arial"/>
                <w:color w:val="000000"/>
                <w:sz w:val="18"/>
                <w:szCs w:val="18"/>
                <w:lang w:val="en-US"/>
              </w:rPr>
              <w:t>)</w:t>
            </w:r>
          </w:p>
        </w:tc>
        <w:tc>
          <w:tcPr>
            <w:tcW w:w="2535" w:type="dxa"/>
            <w:shd w:val="clear" w:color="auto" w:fill="FFFFFF"/>
          </w:tcPr>
          <w:p w14:paraId="62AB8811" w14:textId="021D51B8" w:rsidR="003C0236" w:rsidRPr="00DB6D42" w:rsidRDefault="003C023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13 (28</w:t>
            </w:r>
            <w:r w:rsidR="00BF2C53" w:rsidRPr="00DB6D42">
              <w:rPr>
                <w:rFonts w:cs="Arial"/>
                <w:color w:val="000000"/>
                <w:sz w:val="18"/>
                <w:szCs w:val="18"/>
                <w:lang w:val="en-US"/>
              </w:rPr>
              <w:t>·</w:t>
            </w:r>
            <w:r w:rsidRPr="00DB6D42">
              <w:rPr>
                <w:rFonts w:cs="Arial"/>
                <w:color w:val="000000"/>
                <w:sz w:val="18"/>
                <w:szCs w:val="18"/>
                <w:lang w:val="en-US"/>
              </w:rPr>
              <w:t>9</w:t>
            </w:r>
            <w:r w:rsidR="00B71917" w:rsidRPr="00DB6D42">
              <w:rPr>
                <w:rFonts w:cs="Arial"/>
                <w:color w:val="000000"/>
                <w:sz w:val="18"/>
                <w:szCs w:val="18"/>
                <w:lang w:val="en-US"/>
              </w:rPr>
              <w:t>, [16</w:t>
            </w:r>
            <w:r w:rsidR="00D041F0" w:rsidRPr="00DB6D42">
              <w:rPr>
                <w:lang w:val="en-US"/>
              </w:rPr>
              <w:t>·</w:t>
            </w:r>
            <w:r w:rsidR="00B71917" w:rsidRPr="00DB6D42">
              <w:rPr>
                <w:rFonts w:cs="Arial"/>
                <w:color w:val="000000"/>
                <w:sz w:val="18"/>
                <w:szCs w:val="18"/>
                <w:lang w:val="en-US"/>
              </w:rPr>
              <w:t>4;44</w:t>
            </w:r>
            <w:r w:rsidR="00D041F0" w:rsidRPr="00DB6D42">
              <w:rPr>
                <w:lang w:val="en-US"/>
              </w:rPr>
              <w:t>·</w:t>
            </w:r>
            <w:r w:rsidR="00B71917" w:rsidRPr="00DB6D42">
              <w:rPr>
                <w:rFonts w:cs="Arial"/>
                <w:color w:val="000000"/>
                <w:sz w:val="18"/>
                <w:szCs w:val="18"/>
                <w:lang w:val="en-US"/>
              </w:rPr>
              <w:t>3]</w:t>
            </w:r>
            <w:r w:rsidRPr="00DB6D42">
              <w:rPr>
                <w:rFonts w:cs="Arial"/>
                <w:color w:val="000000"/>
                <w:sz w:val="18"/>
                <w:szCs w:val="18"/>
                <w:lang w:val="en-US"/>
              </w:rPr>
              <w:t>)</w:t>
            </w:r>
          </w:p>
        </w:tc>
        <w:tc>
          <w:tcPr>
            <w:tcW w:w="2535" w:type="dxa"/>
            <w:shd w:val="clear" w:color="auto" w:fill="FFFFFF"/>
          </w:tcPr>
          <w:p w14:paraId="698FE697" w14:textId="31B08E4A" w:rsidR="003C0236" w:rsidRPr="00DB6D42" w:rsidRDefault="003C023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37 (8</w:t>
            </w:r>
            <w:r w:rsidR="00B71917" w:rsidRPr="00DB6D42">
              <w:rPr>
                <w:rFonts w:cs="Arial"/>
                <w:color w:val="000000"/>
                <w:sz w:val="18"/>
                <w:szCs w:val="18"/>
                <w:lang w:val="en-US"/>
              </w:rPr>
              <w:t>2.2, [67</w:t>
            </w:r>
            <w:r w:rsidR="00D041F0" w:rsidRPr="00DB6D42">
              <w:rPr>
                <w:lang w:val="en-US"/>
              </w:rPr>
              <w:t>·</w:t>
            </w:r>
            <w:r w:rsidR="00B71917" w:rsidRPr="00DB6D42">
              <w:rPr>
                <w:rFonts w:cs="Arial"/>
                <w:color w:val="000000"/>
                <w:sz w:val="18"/>
                <w:szCs w:val="18"/>
                <w:lang w:val="en-US"/>
              </w:rPr>
              <w:t>9;92</w:t>
            </w:r>
            <w:r w:rsidR="00D041F0" w:rsidRPr="00DB6D42">
              <w:rPr>
                <w:lang w:val="en-US"/>
              </w:rPr>
              <w:t>·</w:t>
            </w:r>
            <w:r w:rsidR="00B71917" w:rsidRPr="00DB6D42">
              <w:rPr>
                <w:rFonts w:cs="Arial"/>
                <w:color w:val="000000"/>
                <w:sz w:val="18"/>
                <w:szCs w:val="18"/>
                <w:lang w:val="en-US"/>
              </w:rPr>
              <w:t>0]</w:t>
            </w:r>
            <w:r w:rsidRPr="00DB6D42">
              <w:rPr>
                <w:rFonts w:cs="Arial"/>
                <w:color w:val="000000"/>
                <w:sz w:val="18"/>
                <w:szCs w:val="18"/>
                <w:lang w:val="en-US"/>
              </w:rPr>
              <w:t>)</w:t>
            </w:r>
          </w:p>
        </w:tc>
      </w:tr>
      <w:tr w:rsidR="00CC4C39" w:rsidRPr="00DB6D42" w14:paraId="7D057E4B" w14:textId="77777777" w:rsidTr="009059E7">
        <w:trPr>
          <w:cantSplit/>
          <w:jc w:val="center"/>
        </w:trPr>
        <w:tc>
          <w:tcPr>
            <w:tcW w:w="8556" w:type="dxa"/>
            <w:shd w:val="clear" w:color="auto" w:fill="FFFFFF"/>
          </w:tcPr>
          <w:p w14:paraId="7609EE26" w14:textId="77777777" w:rsidR="00CC4C39" w:rsidRPr="00DB6D42" w:rsidRDefault="00CC4C39" w:rsidP="00BB5FF5">
            <w:pPr>
              <w:keepNext/>
              <w:adjustRightInd w:val="0"/>
              <w:spacing w:after="0"/>
              <w:rPr>
                <w:rFonts w:cs="Arial"/>
                <w:color w:val="000000"/>
                <w:sz w:val="18"/>
                <w:szCs w:val="18"/>
                <w:lang w:val="en-US"/>
              </w:rPr>
            </w:pPr>
            <w:r w:rsidRPr="00DB6D42">
              <w:rPr>
                <w:rFonts w:cs="Arial"/>
                <w:color w:val="000000"/>
                <w:sz w:val="18"/>
                <w:szCs w:val="18"/>
                <w:lang w:val="en-US"/>
              </w:rPr>
              <w:t>p-value for comparison against placebo</w:t>
            </w:r>
          </w:p>
        </w:tc>
        <w:tc>
          <w:tcPr>
            <w:tcW w:w="2535" w:type="dxa"/>
            <w:shd w:val="clear" w:color="auto" w:fill="FFFFFF"/>
          </w:tcPr>
          <w:p w14:paraId="7602242F" w14:textId="77777777" w:rsidR="00CC4C39" w:rsidRPr="00DB6D42" w:rsidRDefault="00CC4C39" w:rsidP="00BB5FF5">
            <w:pPr>
              <w:keepNext/>
              <w:adjustRightInd w:val="0"/>
              <w:spacing w:after="0"/>
              <w:jc w:val="center"/>
              <w:rPr>
                <w:rFonts w:cs="Arial"/>
                <w:color w:val="000000"/>
                <w:sz w:val="18"/>
                <w:szCs w:val="18"/>
                <w:lang w:val="en-US"/>
              </w:rPr>
            </w:pPr>
          </w:p>
        </w:tc>
        <w:tc>
          <w:tcPr>
            <w:tcW w:w="2535" w:type="dxa"/>
            <w:shd w:val="clear" w:color="auto" w:fill="FFFFFF"/>
          </w:tcPr>
          <w:p w14:paraId="4B330CFE" w14:textId="5D4F8034"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lang w:val="en-US"/>
              </w:rPr>
              <w:t>·</w:t>
            </w:r>
            <w:r w:rsidRPr="00DB6D42">
              <w:rPr>
                <w:rFonts w:cs="Arial"/>
                <w:color w:val="000000"/>
                <w:sz w:val="18"/>
                <w:szCs w:val="18"/>
                <w:lang w:val="en-US"/>
              </w:rPr>
              <w:t>6547</w:t>
            </w:r>
          </w:p>
        </w:tc>
        <w:tc>
          <w:tcPr>
            <w:tcW w:w="2535" w:type="dxa"/>
            <w:shd w:val="clear" w:color="auto" w:fill="FFFFFF"/>
          </w:tcPr>
          <w:p w14:paraId="00865819" w14:textId="4DF62421"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lang w:val="en-US"/>
              </w:rPr>
              <w:t>·</w:t>
            </w:r>
            <w:r w:rsidRPr="00DB6D42">
              <w:rPr>
                <w:rFonts w:cs="Arial"/>
                <w:color w:val="000000"/>
                <w:sz w:val="18"/>
                <w:szCs w:val="18"/>
                <w:lang w:val="en-US"/>
              </w:rPr>
              <w:t>6547</w:t>
            </w:r>
          </w:p>
        </w:tc>
        <w:tc>
          <w:tcPr>
            <w:tcW w:w="2535" w:type="dxa"/>
            <w:shd w:val="clear" w:color="auto" w:fill="FFFFFF"/>
          </w:tcPr>
          <w:p w14:paraId="3CEE792B" w14:textId="76D4ECA3"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lang w:val="en-US"/>
              </w:rPr>
              <w:t>·</w:t>
            </w:r>
            <w:r w:rsidRPr="00DB6D42">
              <w:rPr>
                <w:rFonts w:cs="Arial"/>
                <w:color w:val="000000"/>
                <w:sz w:val="18"/>
                <w:szCs w:val="18"/>
                <w:lang w:val="en-US"/>
              </w:rPr>
              <w:t>0343</w:t>
            </w:r>
          </w:p>
        </w:tc>
        <w:tc>
          <w:tcPr>
            <w:tcW w:w="2535" w:type="dxa"/>
            <w:shd w:val="clear" w:color="auto" w:fill="FFFFFF"/>
          </w:tcPr>
          <w:p w14:paraId="23AB4868" w14:textId="61872392"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1</w:t>
            </w:r>
            <w:r w:rsidR="00D041F0" w:rsidRPr="00DB6D42">
              <w:rPr>
                <w:lang w:val="en-US"/>
              </w:rPr>
              <w:t>·</w:t>
            </w:r>
            <w:r w:rsidRPr="00DB6D42">
              <w:rPr>
                <w:rFonts w:cs="Arial"/>
                <w:color w:val="000000"/>
                <w:sz w:val="18"/>
                <w:szCs w:val="18"/>
                <w:lang w:val="en-US"/>
              </w:rPr>
              <w:t>60.10</w:t>
            </w:r>
            <w:r w:rsidRPr="00DB6D42">
              <w:rPr>
                <w:rFonts w:cs="Arial"/>
                <w:color w:val="000000"/>
                <w:sz w:val="18"/>
                <w:szCs w:val="18"/>
                <w:vertAlign w:val="superscript"/>
                <w:lang w:val="en-US"/>
              </w:rPr>
              <w:t>-13</w:t>
            </w:r>
          </w:p>
        </w:tc>
      </w:tr>
      <w:tr w:rsidR="00E42C58" w:rsidRPr="00DB6D42" w14:paraId="00FD5E72" w14:textId="77777777" w:rsidTr="00E42C58">
        <w:trPr>
          <w:cantSplit/>
          <w:jc w:val="center"/>
        </w:trPr>
        <w:tc>
          <w:tcPr>
            <w:tcW w:w="8556" w:type="dxa"/>
            <w:shd w:val="clear" w:color="auto" w:fill="FFFFFF"/>
          </w:tcPr>
          <w:p w14:paraId="56CAEC25" w14:textId="77777777" w:rsidR="00E42C58" w:rsidRPr="00DB6D42" w:rsidRDefault="00E42C58" w:rsidP="00BB5FF5">
            <w:pPr>
              <w:keepNext/>
              <w:adjustRightInd w:val="0"/>
              <w:spacing w:after="0"/>
              <w:rPr>
                <w:rFonts w:cs="Arial"/>
                <w:color w:val="000000"/>
                <w:sz w:val="18"/>
                <w:szCs w:val="18"/>
                <w:lang w:val="en-US"/>
              </w:rPr>
            </w:pPr>
          </w:p>
        </w:tc>
        <w:tc>
          <w:tcPr>
            <w:tcW w:w="2535" w:type="dxa"/>
            <w:shd w:val="clear" w:color="auto" w:fill="FFFFFF"/>
          </w:tcPr>
          <w:p w14:paraId="41D22CAB" w14:textId="77777777" w:rsidR="00E42C58" w:rsidRPr="00DB6D42" w:rsidRDefault="00E42C58" w:rsidP="00BB5FF5">
            <w:pPr>
              <w:keepNext/>
              <w:adjustRightInd w:val="0"/>
              <w:spacing w:after="0"/>
              <w:jc w:val="center"/>
              <w:rPr>
                <w:rFonts w:cs="Arial"/>
                <w:color w:val="000000"/>
                <w:sz w:val="18"/>
                <w:szCs w:val="18"/>
                <w:lang w:val="en-US"/>
              </w:rPr>
            </w:pPr>
          </w:p>
        </w:tc>
        <w:tc>
          <w:tcPr>
            <w:tcW w:w="2535" w:type="dxa"/>
            <w:shd w:val="clear" w:color="auto" w:fill="FFFFFF"/>
          </w:tcPr>
          <w:p w14:paraId="3708852C" w14:textId="77777777" w:rsidR="00E42C58" w:rsidRPr="00DB6D42" w:rsidRDefault="00E42C58" w:rsidP="00BB5FF5">
            <w:pPr>
              <w:keepNext/>
              <w:adjustRightInd w:val="0"/>
              <w:spacing w:after="0"/>
              <w:jc w:val="center"/>
              <w:rPr>
                <w:rFonts w:cs="Arial"/>
                <w:color w:val="000000"/>
                <w:sz w:val="18"/>
                <w:szCs w:val="18"/>
                <w:lang w:val="en-US"/>
              </w:rPr>
            </w:pPr>
          </w:p>
        </w:tc>
        <w:tc>
          <w:tcPr>
            <w:tcW w:w="2535" w:type="dxa"/>
            <w:shd w:val="clear" w:color="auto" w:fill="FFFFFF"/>
          </w:tcPr>
          <w:p w14:paraId="5CE9B5C9" w14:textId="77777777" w:rsidR="00E42C58" w:rsidRPr="00DB6D42" w:rsidRDefault="00E42C58" w:rsidP="00BB5FF5">
            <w:pPr>
              <w:keepNext/>
              <w:adjustRightInd w:val="0"/>
              <w:spacing w:after="0"/>
              <w:jc w:val="center"/>
              <w:rPr>
                <w:rFonts w:cs="Arial"/>
                <w:color w:val="000000"/>
                <w:sz w:val="18"/>
                <w:szCs w:val="18"/>
                <w:lang w:val="en-US"/>
              </w:rPr>
            </w:pPr>
          </w:p>
        </w:tc>
        <w:tc>
          <w:tcPr>
            <w:tcW w:w="2535" w:type="dxa"/>
            <w:shd w:val="clear" w:color="auto" w:fill="FFFFFF"/>
          </w:tcPr>
          <w:p w14:paraId="0CEFC0D5" w14:textId="77777777" w:rsidR="00E42C58" w:rsidRPr="00DB6D42" w:rsidRDefault="00E42C58" w:rsidP="00BB5FF5">
            <w:pPr>
              <w:keepNext/>
              <w:adjustRightInd w:val="0"/>
              <w:spacing w:after="0"/>
              <w:jc w:val="center"/>
              <w:rPr>
                <w:rFonts w:cs="Arial"/>
                <w:color w:val="000000"/>
                <w:sz w:val="18"/>
                <w:szCs w:val="18"/>
                <w:lang w:val="en-US"/>
              </w:rPr>
            </w:pPr>
          </w:p>
        </w:tc>
        <w:tc>
          <w:tcPr>
            <w:tcW w:w="2535" w:type="dxa"/>
            <w:shd w:val="clear" w:color="auto" w:fill="FFFFFF"/>
          </w:tcPr>
          <w:p w14:paraId="64C55291" w14:textId="77777777" w:rsidR="00E42C58" w:rsidRPr="00DB6D42" w:rsidRDefault="00E42C58" w:rsidP="00BB5FF5">
            <w:pPr>
              <w:keepNext/>
              <w:adjustRightInd w:val="0"/>
              <w:spacing w:after="0"/>
              <w:jc w:val="center"/>
              <w:rPr>
                <w:rFonts w:cs="Arial"/>
                <w:color w:val="000000"/>
                <w:sz w:val="18"/>
                <w:szCs w:val="18"/>
                <w:lang w:val="en-US"/>
              </w:rPr>
            </w:pPr>
          </w:p>
        </w:tc>
      </w:tr>
      <w:tr w:rsidR="00E42C58" w:rsidRPr="00DB6D42" w14:paraId="74EB488D" w14:textId="77777777" w:rsidTr="00E42C58">
        <w:trPr>
          <w:cantSplit/>
          <w:jc w:val="center"/>
        </w:trPr>
        <w:tc>
          <w:tcPr>
            <w:tcW w:w="8556" w:type="dxa"/>
            <w:shd w:val="clear" w:color="auto" w:fill="FFFFFF"/>
          </w:tcPr>
          <w:p w14:paraId="131CDFC2" w14:textId="77777777" w:rsidR="00E42C58" w:rsidRPr="00DB6D42" w:rsidRDefault="00E42C58" w:rsidP="00BB5FF5">
            <w:pPr>
              <w:keepNext/>
              <w:adjustRightInd w:val="0"/>
              <w:spacing w:after="0"/>
              <w:rPr>
                <w:rFonts w:cs="Arial"/>
                <w:color w:val="000000"/>
                <w:sz w:val="18"/>
                <w:szCs w:val="18"/>
                <w:lang w:val="en-US"/>
              </w:rPr>
            </w:pPr>
            <w:r w:rsidRPr="00DB6D42">
              <w:rPr>
                <w:rFonts w:cs="Arial"/>
                <w:color w:val="000000"/>
                <w:sz w:val="18"/>
                <w:szCs w:val="18"/>
                <w:lang w:val="en-US"/>
              </w:rPr>
              <w:t>Time to first relapse (days)</w:t>
            </w:r>
          </w:p>
        </w:tc>
        <w:tc>
          <w:tcPr>
            <w:tcW w:w="2535" w:type="dxa"/>
            <w:shd w:val="clear" w:color="auto" w:fill="FFFFFF"/>
          </w:tcPr>
          <w:p w14:paraId="55C0CCA0" w14:textId="77777777" w:rsidR="00E42C58" w:rsidRPr="00DB6D42" w:rsidRDefault="00E42C58" w:rsidP="00BB5FF5">
            <w:pPr>
              <w:keepNext/>
              <w:adjustRightInd w:val="0"/>
              <w:spacing w:after="0"/>
              <w:jc w:val="center"/>
              <w:rPr>
                <w:rFonts w:cs="Arial"/>
                <w:color w:val="000000"/>
                <w:sz w:val="18"/>
                <w:szCs w:val="18"/>
                <w:lang w:val="en-US"/>
              </w:rPr>
            </w:pPr>
          </w:p>
        </w:tc>
        <w:tc>
          <w:tcPr>
            <w:tcW w:w="2535" w:type="dxa"/>
            <w:shd w:val="clear" w:color="auto" w:fill="FFFFFF"/>
          </w:tcPr>
          <w:p w14:paraId="6076EF7A" w14:textId="77777777" w:rsidR="00E42C58" w:rsidRPr="00DB6D42" w:rsidRDefault="00E42C58" w:rsidP="00BB5FF5">
            <w:pPr>
              <w:keepNext/>
              <w:adjustRightInd w:val="0"/>
              <w:spacing w:after="0"/>
              <w:jc w:val="center"/>
              <w:rPr>
                <w:rFonts w:cs="Arial"/>
                <w:color w:val="000000"/>
                <w:sz w:val="18"/>
                <w:szCs w:val="18"/>
                <w:lang w:val="en-US"/>
              </w:rPr>
            </w:pPr>
          </w:p>
        </w:tc>
        <w:tc>
          <w:tcPr>
            <w:tcW w:w="2535" w:type="dxa"/>
            <w:shd w:val="clear" w:color="auto" w:fill="FFFFFF"/>
          </w:tcPr>
          <w:p w14:paraId="4DCDF948" w14:textId="77777777" w:rsidR="00E42C58" w:rsidRPr="00DB6D42" w:rsidRDefault="00E42C58" w:rsidP="00BB5FF5">
            <w:pPr>
              <w:keepNext/>
              <w:adjustRightInd w:val="0"/>
              <w:spacing w:after="0"/>
              <w:jc w:val="center"/>
              <w:rPr>
                <w:rFonts w:cs="Arial"/>
                <w:color w:val="000000"/>
                <w:sz w:val="18"/>
                <w:szCs w:val="18"/>
                <w:lang w:val="en-US"/>
              </w:rPr>
            </w:pPr>
          </w:p>
        </w:tc>
        <w:tc>
          <w:tcPr>
            <w:tcW w:w="2535" w:type="dxa"/>
            <w:shd w:val="clear" w:color="auto" w:fill="FFFFFF"/>
          </w:tcPr>
          <w:p w14:paraId="71E11073" w14:textId="77777777" w:rsidR="00E42C58" w:rsidRPr="00DB6D42" w:rsidRDefault="00E42C58" w:rsidP="00BB5FF5">
            <w:pPr>
              <w:keepNext/>
              <w:adjustRightInd w:val="0"/>
              <w:spacing w:after="0"/>
              <w:jc w:val="center"/>
              <w:rPr>
                <w:rFonts w:cs="Arial"/>
                <w:color w:val="000000"/>
                <w:sz w:val="18"/>
                <w:szCs w:val="18"/>
                <w:lang w:val="en-US"/>
              </w:rPr>
            </w:pPr>
          </w:p>
        </w:tc>
        <w:tc>
          <w:tcPr>
            <w:tcW w:w="2535" w:type="dxa"/>
            <w:shd w:val="clear" w:color="auto" w:fill="FFFFFF"/>
          </w:tcPr>
          <w:p w14:paraId="62410F0D" w14:textId="77777777" w:rsidR="00E42C58" w:rsidRPr="00DB6D42" w:rsidRDefault="00E42C58" w:rsidP="00BB5FF5">
            <w:pPr>
              <w:keepNext/>
              <w:adjustRightInd w:val="0"/>
              <w:spacing w:after="0"/>
              <w:jc w:val="center"/>
              <w:rPr>
                <w:rFonts w:cs="Arial"/>
                <w:color w:val="000000"/>
                <w:sz w:val="18"/>
                <w:szCs w:val="18"/>
                <w:lang w:val="en-US"/>
              </w:rPr>
            </w:pPr>
          </w:p>
        </w:tc>
      </w:tr>
      <w:tr w:rsidR="00E42C58" w:rsidRPr="00DB6D42" w14:paraId="1A9E37B3" w14:textId="77777777" w:rsidTr="00E42C58">
        <w:trPr>
          <w:cantSplit/>
          <w:jc w:val="center"/>
        </w:trPr>
        <w:tc>
          <w:tcPr>
            <w:tcW w:w="8556" w:type="dxa"/>
            <w:shd w:val="clear" w:color="auto" w:fill="FFFFFF"/>
          </w:tcPr>
          <w:p w14:paraId="014B3978" w14:textId="77777777" w:rsidR="00E42C58" w:rsidRPr="00DB6D42" w:rsidRDefault="00E42C58" w:rsidP="00BB5FF5">
            <w:pPr>
              <w:keepNext/>
              <w:adjustRightInd w:val="0"/>
              <w:spacing w:after="0"/>
              <w:rPr>
                <w:rFonts w:cs="Arial"/>
                <w:color w:val="000000"/>
                <w:sz w:val="18"/>
                <w:szCs w:val="18"/>
              </w:rPr>
            </w:pPr>
            <w:r w:rsidRPr="00DB6D42">
              <w:rPr>
                <w:rFonts w:cs="Arial"/>
                <w:color w:val="000000"/>
                <w:sz w:val="18"/>
                <w:szCs w:val="18"/>
              </w:rPr>
              <w:t xml:space="preserve">Kaplan </w:t>
            </w:r>
            <w:r w:rsidR="009E4916" w:rsidRPr="00DB6D42">
              <w:rPr>
                <w:rFonts w:cs="Arial"/>
                <w:color w:val="000000"/>
                <w:sz w:val="18"/>
                <w:szCs w:val="18"/>
              </w:rPr>
              <w:t>Meier</w:t>
            </w:r>
            <w:r w:rsidRPr="00DB6D42">
              <w:rPr>
                <w:rFonts w:cs="Arial"/>
                <w:color w:val="000000"/>
                <w:sz w:val="18"/>
                <w:szCs w:val="18"/>
              </w:rPr>
              <w:t xml:space="preserve"> estimate of time to 50% reappearance</w:t>
            </w:r>
          </w:p>
        </w:tc>
        <w:tc>
          <w:tcPr>
            <w:tcW w:w="2535" w:type="dxa"/>
            <w:shd w:val="clear" w:color="auto" w:fill="FFFFFF"/>
          </w:tcPr>
          <w:p w14:paraId="3DE867F7" w14:textId="16EBAD4A" w:rsidR="00E42C58" w:rsidRPr="00DB6D42" w:rsidRDefault="009E491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 xml:space="preserve">84 </w:t>
            </w:r>
            <w:r w:rsidR="00E42C58" w:rsidRPr="00DB6D42">
              <w:rPr>
                <w:rFonts w:cs="Arial"/>
                <w:color w:val="000000"/>
                <w:sz w:val="18"/>
                <w:szCs w:val="18"/>
                <w:lang w:val="en-US"/>
              </w:rPr>
              <w:t>(55</w:t>
            </w:r>
            <w:r w:rsidR="00D041F0" w:rsidRPr="00DB6D42">
              <w:rPr>
                <w:lang w:val="en-US"/>
              </w:rPr>
              <w:t>·</w:t>
            </w:r>
            <w:r w:rsidR="00E42C58" w:rsidRPr="00DB6D42">
              <w:rPr>
                <w:rFonts w:cs="Arial"/>
                <w:color w:val="000000"/>
                <w:sz w:val="18"/>
                <w:szCs w:val="18"/>
                <w:lang w:val="en-US"/>
              </w:rPr>
              <w:t>0</w:t>
            </w:r>
            <w:r w:rsidRPr="00DB6D42">
              <w:rPr>
                <w:rFonts w:cs="Arial"/>
                <w:color w:val="000000"/>
                <w:sz w:val="18"/>
                <w:szCs w:val="18"/>
                <w:lang w:val="en-US"/>
              </w:rPr>
              <w:t>;</w:t>
            </w:r>
            <w:r w:rsidR="00E42C58" w:rsidRPr="00DB6D42">
              <w:rPr>
                <w:rFonts w:cs="Arial"/>
                <w:color w:val="000000"/>
                <w:sz w:val="18"/>
                <w:szCs w:val="18"/>
                <w:lang w:val="en-US"/>
              </w:rPr>
              <w:t>-----)</w:t>
            </w:r>
          </w:p>
        </w:tc>
        <w:tc>
          <w:tcPr>
            <w:tcW w:w="2535" w:type="dxa"/>
            <w:shd w:val="clear" w:color="auto" w:fill="FFFFFF"/>
          </w:tcPr>
          <w:p w14:paraId="17E9517D" w14:textId="331A55BB" w:rsidR="00E42C58" w:rsidRPr="00DB6D42" w:rsidRDefault="009E491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111</w:t>
            </w:r>
            <w:r w:rsidR="00E42C58" w:rsidRPr="00DB6D42">
              <w:rPr>
                <w:rFonts w:cs="Arial"/>
                <w:color w:val="000000"/>
                <w:sz w:val="18"/>
                <w:szCs w:val="18"/>
                <w:lang w:val="en-US"/>
              </w:rPr>
              <w:t xml:space="preserve"> (60</w:t>
            </w:r>
            <w:r w:rsidR="00D041F0" w:rsidRPr="00DB6D42">
              <w:rPr>
                <w:lang w:val="en-US"/>
              </w:rPr>
              <w:t>·</w:t>
            </w:r>
            <w:r w:rsidR="00E42C58" w:rsidRPr="00DB6D42">
              <w:rPr>
                <w:rFonts w:cs="Arial"/>
                <w:color w:val="000000"/>
                <w:sz w:val="18"/>
                <w:szCs w:val="18"/>
                <w:lang w:val="en-US"/>
              </w:rPr>
              <w:t>0</w:t>
            </w:r>
            <w:r w:rsidRPr="00DB6D42">
              <w:rPr>
                <w:rFonts w:cs="Arial"/>
                <w:color w:val="000000"/>
                <w:sz w:val="18"/>
                <w:szCs w:val="18"/>
                <w:lang w:val="en-US"/>
              </w:rPr>
              <w:t>;</w:t>
            </w:r>
            <w:r w:rsidR="00E42C58" w:rsidRPr="00DB6D42">
              <w:rPr>
                <w:rFonts w:cs="Arial"/>
                <w:color w:val="000000"/>
                <w:sz w:val="18"/>
                <w:szCs w:val="18"/>
                <w:lang w:val="en-US"/>
              </w:rPr>
              <w:t>112</w:t>
            </w:r>
            <w:r w:rsidR="00D041F0" w:rsidRPr="00DB6D42">
              <w:rPr>
                <w:lang w:val="en-US"/>
              </w:rPr>
              <w:t>·</w:t>
            </w:r>
            <w:r w:rsidR="00E42C58" w:rsidRPr="00DB6D42">
              <w:rPr>
                <w:rFonts w:cs="Arial"/>
                <w:color w:val="000000"/>
                <w:sz w:val="18"/>
                <w:szCs w:val="18"/>
                <w:lang w:val="en-US"/>
              </w:rPr>
              <w:t>0)</w:t>
            </w:r>
          </w:p>
        </w:tc>
        <w:tc>
          <w:tcPr>
            <w:tcW w:w="2535" w:type="dxa"/>
            <w:shd w:val="clear" w:color="auto" w:fill="FFFFFF"/>
          </w:tcPr>
          <w:p w14:paraId="6CE7F6C8" w14:textId="1457BA8E" w:rsidR="00E42C58" w:rsidRPr="00DB6D42" w:rsidRDefault="009E491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56</w:t>
            </w:r>
            <w:r w:rsidR="00E42C58" w:rsidRPr="00DB6D42">
              <w:rPr>
                <w:rFonts w:cs="Arial"/>
                <w:color w:val="000000"/>
                <w:sz w:val="18"/>
                <w:szCs w:val="18"/>
                <w:lang w:val="en-US"/>
              </w:rPr>
              <w:t xml:space="preserve"> ( 56.0</w:t>
            </w:r>
            <w:r w:rsidRPr="00DB6D42">
              <w:rPr>
                <w:rFonts w:cs="Arial"/>
                <w:color w:val="000000"/>
                <w:sz w:val="18"/>
                <w:szCs w:val="18"/>
                <w:lang w:val="en-US"/>
              </w:rPr>
              <w:t>;</w:t>
            </w:r>
            <w:r w:rsidR="00E42C58" w:rsidRPr="00DB6D42">
              <w:rPr>
                <w:rFonts w:cs="Arial"/>
                <w:color w:val="000000"/>
                <w:sz w:val="18"/>
                <w:szCs w:val="18"/>
                <w:lang w:val="en-US"/>
              </w:rPr>
              <w:t xml:space="preserve"> 60</w:t>
            </w:r>
            <w:r w:rsidR="00D041F0" w:rsidRPr="00DB6D42">
              <w:rPr>
                <w:lang w:val="en-US"/>
              </w:rPr>
              <w:t>·</w:t>
            </w:r>
            <w:r w:rsidR="00E42C58" w:rsidRPr="00DB6D42">
              <w:rPr>
                <w:rFonts w:cs="Arial"/>
                <w:color w:val="000000"/>
                <w:sz w:val="18"/>
                <w:szCs w:val="18"/>
                <w:lang w:val="en-US"/>
              </w:rPr>
              <w:t>0)</w:t>
            </w:r>
          </w:p>
        </w:tc>
        <w:tc>
          <w:tcPr>
            <w:tcW w:w="2535" w:type="dxa"/>
            <w:shd w:val="clear" w:color="auto" w:fill="FFFFFF"/>
          </w:tcPr>
          <w:p w14:paraId="19F356B6" w14:textId="049CA857" w:rsidR="00E42C58" w:rsidRPr="00DB6D42" w:rsidRDefault="009E491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287</w:t>
            </w:r>
            <w:r w:rsidR="00E42C58" w:rsidRPr="00DB6D42">
              <w:rPr>
                <w:rFonts w:cs="Arial"/>
                <w:color w:val="000000"/>
                <w:sz w:val="18"/>
                <w:szCs w:val="18"/>
                <w:lang w:val="en-US"/>
              </w:rPr>
              <w:t xml:space="preserve"> (111</w:t>
            </w:r>
            <w:r w:rsidR="00D041F0" w:rsidRPr="00DB6D42">
              <w:rPr>
                <w:lang w:val="en-US"/>
              </w:rPr>
              <w:t>·</w:t>
            </w:r>
            <w:r w:rsidR="00E42C58" w:rsidRPr="00DB6D42">
              <w:rPr>
                <w:rFonts w:cs="Arial"/>
                <w:color w:val="000000"/>
                <w:sz w:val="18"/>
                <w:szCs w:val="18"/>
                <w:lang w:val="en-US"/>
              </w:rPr>
              <w:t>0</w:t>
            </w:r>
            <w:r w:rsidRPr="00DB6D42">
              <w:rPr>
                <w:rFonts w:cs="Arial"/>
                <w:color w:val="000000"/>
                <w:sz w:val="18"/>
                <w:szCs w:val="18"/>
                <w:lang w:val="en-US"/>
              </w:rPr>
              <w:t>;</w:t>
            </w:r>
            <w:r w:rsidR="00E42C58" w:rsidRPr="00DB6D42">
              <w:rPr>
                <w:rFonts w:cs="Arial"/>
                <w:color w:val="000000"/>
                <w:sz w:val="18"/>
                <w:szCs w:val="18"/>
                <w:lang w:val="en-US"/>
              </w:rPr>
              <w:t>-----)</w:t>
            </w:r>
          </w:p>
        </w:tc>
        <w:tc>
          <w:tcPr>
            <w:tcW w:w="2535" w:type="dxa"/>
            <w:shd w:val="clear" w:color="auto" w:fill="FFFFFF"/>
          </w:tcPr>
          <w:p w14:paraId="275247EE" w14:textId="08F2C16A" w:rsidR="00E42C58" w:rsidRPr="00DB6D42" w:rsidRDefault="009E491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 xml:space="preserve">--- </w:t>
            </w:r>
            <w:r w:rsidR="00E42C58" w:rsidRPr="00DB6D42">
              <w:rPr>
                <w:rFonts w:cs="Arial"/>
                <w:color w:val="000000"/>
                <w:sz w:val="18"/>
                <w:szCs w:val="18"/>
                <w:lang w:val="en-US"/>
              </w:rPr>
              <w:t>(305</w:t>
            </w:r>
            <w:r w:rsidR="00D041F0" w:rsidRPr="00DB6D42">
              <w:rPr>
                <w:lang w:val="en-US"/>
              </w:rPr>
              <w:t>·</w:t>
            </w:r>
            <w:r w:rsidR="00E42C58" w:rsidRPr="00DB6D42">
              <w:rPr>
                <w:rFonts w:cs="Arial"/>
                <w:color w:val="000000"/>
                <w:sz w:val="18"/>
                <w:szCs w:val="18"/>
                <w:lang w:val="en-US"/>
              </w:rPr>
              <w:t>0</w:t>
            </w:r>
            <w:r w:rsidRPr="00DB6D42">
              <w:rPr>
                <w:rFonts w:cs="Arial"/>
                <w:color w:val="000000"/>
                <w:sz w:val="18"/>
                <w:szCs w:val="18"/>
                <w:lang w:val="en-US"/>
              </w:rPr>
              <w:t>;</w:t>
            </w:r>
            <w:r w:rsidR="00E42C58" w:rsidRPr="00DB6D42">
              <w:rPr>
                <w:rFonts w:cs="Arial"/>
                <w:color w:val="000000"/>
                <w:sz w:val="18"/>
                <w:szCs w:val="18"/>
                <w:lang w:val="en-US"/>
              </w:rPr>
              <w:t>-----)</w:t>
            </w:r>
          </w:p>
        </w:tc>
      </w:tr>
      <w:tr w:rsidR="00E42C58" w:rsidRPr="00DB6D42" w14:paraId="029BAAF3" w14:textId="77777777" w:rsidTr="00E42C58">
        <w:trPr>
          <w:cantSplit/>
          <w:jc w:val="center"/>
        </w:trPr>
        <w:tc>
          <w:tcPr>
            <w:tcW w:w="8556" w:type="dxa"/>
            <w:shd w:val="clear" w:color="auto" w:fill="FFFFFF"/>
          </w:tcPr>
          <w:p w14:paraId="42CB9762" w14:textId="77777777" w:rsidR="00E42C58" w:rsidRPr="00DB6D42" w:rsidRDefault="009E4916" w:rsidP="00BB5FF5">
            <w:pPr>
              <w:keepNext/>
              <w:adjustRightInd w:val="0"/>
              <w:spacing w:after="0"/>
              <w:rPr>
                <w:rFonts w:cs="Arial"/>
                <w:color w:val="000000"/>
                <w:sz w:val="18"/>
                <w:szCs w:val="18"/>
                <w:lang w:val="en-US"/>
              </w:rPr>
            </w:pPr>
            <w:r w:rsidRPr="00DB6D42">
              <w:rPr>
                <w:rFonts w:cs="Arial"/>
                <w:color w:val="000000"/>
                <w:sz w:val="18"/>
                <w:szCs w:val="18"/>
                <w:lang w:val="en-US"/>
              </w:rPr>
              <w:t xml:space="preserve">Log-rank test </w:t>
            </w:r>
            <w:r w:rsidR="00E42C58" w:rsidRPr="00DB6D42">
              <w:rPr>
                <w:rFonts w:cs="Arial"/>
                <w:color w:val="000000"/>
                <w:sz w:val="18"/>
                <w:szCs w:val="18"/>
                <w:lang w:val="en-US"/>
              </w:rPr>
              <w:t>p-value for comparison against placebo</w:t>
            </w:r>
          </w:p>
        </w:tc>
        <w:tc>
          <w:tcPr>
            <w:tcW w:w="2535" w:type="dxa"/>
            <w:shd w:val="clear" w:color="auto" w:fill="FFFFFF"/>
          </w:tcPr>
          <w:p w14:paraId="177B5DC6" w14:textId="77777777" w:rsidR="00E42C58" w:rsidRPr="00DB6D42" w:rsidRDefault="00E42C58" w:rsidP="00BB5FF5">
            <w:pPr>
              <w:keepNext/>
              <w:adjustRightInd w:val="0"/>
              <w:spacing w:after="0"/>
              <w:jc w:val="center"/>
              <w:rPr>
                <w:rFonts w:cs="Arial"/>
                <w:color w:val="000000"/>
                <w:sz w:val="18"/>
                <w:szCs w:val="18"/>
                <w:lang w:val="en-US"/>
              </w:rPr>
            </w:pPr>
          </w:p>
        </w:tc>
        <w:tc>
          <w:tcPr>
            <w:tcW w:w="2535" w:type="dxa"/>
            <w:shd w:val="clear" w:color="auto" w:fill="FFFFFF"/>
          </w:tcPr>
          <w:p w14:paraId="72C9403B" w14:textId="63F2AEA3" w:rsidR="00E42C58" w:rsidRPr="00DB6D42" w:rsidRDefault="00E42C58"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lang w:val="en-US"/>
              </w:rPr>
              <w:t>·</w:t>
            </w:r>
            <w:r w:rsidRPr="00DB6D42">
              <w:rPr>
                <w:rFonts w:cs="Arial"/>
                <w:color w:val="000000"/>
                <w:sz w:val="18"/>
                <w:szCs w:val="18"/>
                <w:lang w:val="en-US"/>
              </w:rPr>
              <w:t>302</w:t>
            </w:r>
          </w:p>
        </w:tc>
        <w:tc>
          <w:tcPr>
            <w:tcW w:w="2535" w:type="dxa"/>
            <w:shd w:val="clear" w:color="auto" w:fill="FFFFFF"/>
          </w:tcPr>
          <w:p w14:paraId="2DB20654" w14:textId="702286B8" w:rsidR="00E42C58" w:rsidRPr="00DB6D42" w:rsidRDefault="00E42C58"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lang w:val="en-US"/>
              </w:rPr>
              <w:t>·</w:t>
            </w:r>
            <w:r w:rsidRPr="00DB6D42">
              <w:rPr>
                <w:rFonts w:cs="Arial"/>
                <w:color w:val="000000"/>
                <w:sz w:val="18"/>
                <w:szCs w:val="18"/>
                <w:lang w:val="en-US"/>
              </w:rPr>
              <w:t>203</w:t>
            </w:r>
          </w:p>
        </w:tc>
        <w:tc>
          <w:tcPr>
            <w:tcW w:w="2535" w:type="dxa"/>
            <w:shd w:val="clear" w:color="auto" w:fill="FFFFFF"/>
          </w:tcPr>
          <w:p w14:paraId="21A997C3" w14:textId="77972312" w:rsidR="00E42C58" w:rsidRPr="00DB6D42" w:rsidRDefault="00E42C58"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lang w:val="en-US"/>
              </w:rPr>
              <w:t>·</w:t>
            </w:r>
            <w:r w:rsidRPr="00DB6D42">
              <w:rPr>
                <w:rFonts w:cs="Arial"/>
                <w:color w:val="000000"/>
                <w:sz w:val="18"/>
                <w:szCs w:val="18"/>
                <w:lang w:val="en-US"/>
              </w:rPr>
              <w:t>412</w:t>
            </w:r>
          </w:p>
        </w:tc>
        <w:tc>
          <w:tcPr>
            <w:tcW w:w="2535" w:type="dxa"/>
            <w:shd w:val="clear" w:color="auto" w:fill="FFFFFF"/>
          </w:tcPr>
          <w:p w14:paraId="022FE61D" w14:textId="7C296ED5" w:rsidR="00E42C58" w:rsidRPr="00DB6D42" w:rsidRDefault="00E42C58"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&lt;0</w:t>
            </w:r>
            <w:r w:rsidR="00D041F0" w:rsidRPr="00DB6D42">
              <w:rPr>
                <w:lang w:val="en-US"/>
              </w:rPr>
              <w:t>·</w:t>
            </w:r>
            <w:r w:rsidRPr="00DB6D42">
              <w:rPr>
                <w:rFonts w:cs="Arial"/>
                <w:color w:val="000000"/>
                <w:sz w:val="18"/>
                <w:szCs w:val="18"/>
                <w:lang w:val="en-US"/>
              </w:rPr>
              <w:t>001</w:t>
            </w:r>
          </w:p>
        </w:tc>
      </w:tr>
      <w:tr w:rsidR="00E42C58" w:rsidRPr="00DB6D42" w14:paraId="1EFEC8A4" w14:textId="77777777" w:rsidTr="00E42C58">
        <w:trPr>
          <w:cantSplit/>
          <w:jc w:val="center"/>
        </w:trPr>
        <w:tc>
          <w:tcPr>
            <w:tcW w:w="8556" w:type="dxa"/>
            <w:shd w:val="clear" w:color="auto" w:fill="FFFFFF"/>
          </w:tcPr>
          <w:p w14:paraId="28F9D98A" w14:textId="7BC153DB" w:rsidR="00E42C58" w:rsidRPr="00DB6D42" w:rsidRDefault="009E4916" w:rsidP="00BB5FF5">
            <w:pPr>
              <w:keepNext/>
              <w:adjustRightInd w:val="0"/>
              <w:spacing w:after="0"/>
              <w:rPr>
                <w:rFonts w:cs="Arial"/>
                <w:color w:val="000000"/>
                <w:sz w:val="18"/>
                <w:szCs w:val="18"/>
                <w:lang w:val="en-US"/>
              </w:rPr>
            </w:pPr>
            <w:r w:rsidRPr="00DB6D42">
              <w:rPr>
                <w:rFonts w:cs="Arial"/>
                <w:color w:val="000000"/>
                <w:sz w:val="18"/>
                <w:szCs w:val="18"/>
                <w:lang w:val="en-US"/>
              </w:rPr>
              <w:t>Hazard ratio from Cox Model adjusted on baseline qPCR (HR=1</w:t>
            </w:r>
            <w:r w:rsidR="00D041F0" w:rsidRPr="00DB6D42">
              <w:rPr>
                <w:lang w:val="en-US"/>
              </w:rPr>
              <w:t>·</w:t>
            </w:r>
            <w:r w:rsidRPr="00DB6D42">
              <w:rPr>
                <w:rFonts w:cs="Arial"/>
                <w:color w:val="000000"/>
                <w:sz w:val="18"/>
                <w:szCs w:val="18"/>
                <w:lang w:val="en-US"/>
              </w:rPr>
              <w:t>10, 95%CI [1</w:t>
            </w:r>
            <w:r w:rsidR="00D041F0" w:rsidRPr="00DB6D42">
              <w:rPr>
                <w:lang w:val="en-US"/>
              </w:rPr>
              <w:t>·</w:t>
            </w:r>
            <w:r w:rsidRPr="00DB6D42">
              <w:rPr>
                <w:rFonts w:cs="Arial"/>
                <w:color w:val="000000"/>
                <w:sz w:val="18"/>
                <w:szCs w:val="18"/>
                <w:lang w:val="en-US"/>
              </w:rPr>
              <w:t>03, 1</w:t>
            </w:r>
            <w:r w:rsidR="00D041F0" w:rsidRPr="00DB6D42">
              <w:rPr>
                <w:lang w:val="en-US"/>
              </w:rPr>
              <w:t>·</w:t>
            </w:r>
            <w:r w:rsidRPr="00DB6D42">
              <w:rPr>
                <w:rFonts w:cs="Arial"/>
                <w:color w:val="000000"/>
                <w:sz w:val="18"/>
                <w:szCs w:val="18"/>
                <w:lang w:val="en-US"/>
              </w:rPr>
              <w:t>16])</w:t>
            </w:r>
          </w:p>
        </w:tc>
        <w:tc>
          <w:tcPr>
            <w:tcW w:w="2535" w:type="dxa"/>
            <w:shd w:val="clear" w:color="auto" w:fill="FFFFFF"/>
          </w:tcPr>
          <w:p w14:paraId="141B4285" w14:textId="77777777" w:rsidR="00E42C58" w:rsidRPr="00DB6D42" w:rsidRDefault="00E42C58" w:rsidP="00BB5FF5">
            <w:pPr>
              <w:keepNext/>
              <w:adjustRightInd w:val="0"/>
              <w:spacing w:after="0"/>
              <w:jc w:val="center"/>
              <w:rPr>
                <w:rFonts w:cs="Arial"/>
                <w:color w:val="000000"/>
                <w:sz w:val="18"/>
                <w:szCs w:val="18"/>
                <w:lang w:val="en-US"/>
              </w:rPr>
            </w:pPr>
          </w:p>
        </w:tc>
        <w:tc>
          <w:tcPr>
            <w:tcW w:w="2535" w:type="dxa"/>
            <w:shd w:val="clear" w:color="auto" w:fill="FFFFFF"/>
          </w:tcPr>
          <w:p w14:paraId="74D3ADC6" w14:textId="4A0BC073" w:rsidR="00E42C58" w:rsidRPr="00DB6D42" w:rsidRDefault="009E491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1</w:t>
            </w:r>
            <w:r w:rsidR="00D041F0" w:rsidRPr="00DB6D42">
              <w:rPr>
                <w:lang w:val="en-US"/>
              </w:rPr>
              <w:t>·</w:t>
            </w:r>
            <w:r w:rsidRPr="00DB6D42">
              <w:rPr>
                <w:rFonts w:cs="Arial"/>
                <w:color w:val="000000"/>
                <w:sz w:val="18"/>
                <w:szCs w:val="18"/>
                <w:lang w:val="en-US"/>
              </w:rPr>
              <w:t>17 (0</w:t>
            </w:r>
            <w:r w:rsidR="00D041F0" w:rsidRPr="00DB6D42">
              <w:rPr>
                <w:lang w:val="en-US"/>
              </w:rPr>
              <w:t>·</w:t>
            </w:r>
            <w:r w:rsidRPr="00DB6D42">
              <w:rPr>
                <w:rFonts w:cs="Arial"/>
                <w:color w:val="000000"/>
                <w:sz w:val="18"/>
                <w:szCs w:val="18"/>
                <w:lang w:val="en-US"/>
              </w:rPr>
              <w:t>53;2</w:t>
            </w:r>
            <w:r w:rsidR="00D041F0" w:rsidRPr="00DB6D42">
              <w:rPr>
                <w:lang w:val="en-US"/>
              </w:rPr>
              <w:t>·</w:t>
            </w:r>
            <w:r w:rsidRPr="00DB6D42">
              <w:rPr>
                <w:rFonts w:cs="Arial"/>
                <w:color w:val="000000"/>
                <w:sz w:val="18"/>
                <w:szCs w:val="18"/>
                <w:lang w:val="en-US"/>
              </w:rPr>
              <w:t>56)</w:t>
            </w:r>
          </w:p>
        </w:tc>
        <w:tc>
          <w:tcPr>
            <w:tcW w:w="2535" w:type="dxa"/>
            <w:shd w:val="clear" w:color="auto" w:fill="FFFFFF"/>
          </w:tcPr>
          <w:p w14:paraId="77BE6D60" w14:textId="7D3980DD" w:rsidR="00E42C58" w:rsidRPr="00DB6D42" w:rsidRDefault="009E491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1</w:t>
            </w:r>
            <w:r w:rsidR="00D041F0" w:rsidRPr="00DB6D42">
              <w:rPr>
                <w:lang w:val="en-US"/>
              </w:rPr>
              <w:t>·</w:t>
            </w:r>
            <w:r w:rsidRPr="00DB6D42">
              <w:rPr>
                <w:rFonts w:cs="Arial"/>
                <w:color w:val="000000"/>
                <w:sz w:val="18"/>
                <w:szCs w:val="18"/>
                <w:lang w:val="en-US"/>
              </w:rPr>
              <w:t>68 (0</w:t>
            </w:r>
            <w:r w:rsidR="00D041F0" w:rsidRPr="00DB6D42">
              <w:rPr>
                <w:lang w:val="en-US"/>
              </w:rPr>
              <w:t>·</w:t>
            </w:r>
            <w:r w:rsidRPr="00DB6D42">
              <w:rPr>
                <w:rFonts w:cs="Arial"/>
                <w:color w:val="000000"/>
                <w:sz w:val="18"/>
                <w:szCs w:val="18"/>
                <w:lang w:val="en-US"/>
              </w:rPr>
              <w:t>77;3</w:t>
            </w:r>
            <w:r w:rsidR="00D041F0" w:rsidRPr="00DB6D42">
              <w:rPr>
                <w:lang w:val="en-US"/>
              </w:rPr>
              <w:t>·</w:t>
            </w:r>
            <w:r w:rsidRPr="00DB6D42">
              <w:rPr>
                <w:rFonts w:cs="Arial"/>
                <w:color w:val="000000"/>
                <w:sz w:val="18"/>
                <w:szCs w:val="18"/>
                <w:lang w:val="en-US"/>
              </w:rPr>
              <w:t>67)</w:t>
            </w:r>
          </w:p>
        </w:tc>
        <w:tc>
          <w:tcPr>
            <w:tcW w:w="2535" w:type="dxa"/>
            <w:shd w:val="clear" w:color="auto" w:fill="FFFFFF"/>
          </w:tcPr>
          <w:p w14:paraId="5F77042B" w14:textId="40185B6C" w:rsidR="00E42C58" w:rsidRPr="00DB6D42" w:rsidRDefault="009E491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lang w:val="en-US"/>
              </w:rPr>
              <w:t>·</w:t>
            </w:r>
            <w:r w:rsidRPr="00DB6D42">
              <w:rPr>
                <w:rFonts w:cs="Arial"/>
                <w:color w:val="000000"/>
                <w:sz w:val="18"/>
                <w:szCs w:val="18"/>
                <w:lang w:val="en-US"/>
              </w:rPr>
              <w:t>60 (0</w:t>
            </w:r>
            <w:r w:rsidR="00D041F0" w:rsidRPr="00DB6D42">
              <w:rPr>
                <w:lang w:val="en-US"/>
              </w:rPr>
              <w:t>·</w:t>
            </w:r>
            <w:r w:rsidRPr="00DB6D42">
              <w:rPr>
                <w:rFonts w:cs="Arial"/>
                <w:color w:val="000000"/>
                <w:sz w:val="18"/>
                <w:szCs w:val="18"/>
                <w:lang w:val="en-US"/>
              </w:rPr>
              <w:t>26;1</w:t>
            </w:r>
            <w:r w:rsidR="00D041F0" w:rsidRPr="00DB6D42">
              <w:rPr>
                <w:lang w:val="en-US"/>
              </w:rPr>
              <w:t>·</w:t>
            </w:r>
            <w:r w:rsidRPr="00DB6D42">
              <w:rPr>
                <w:rFonts w:cs="Arial"/>
                <w:color w:val="000000"/>
                <w:sz w:val="18"/>
                <w:szCs w:val="18"/>
                <w:lang w:val="en-US"/>
              </w:rPr>
              <w:t>37)</w:t>
            </w:r>
          </w:p>
        </w:tc>
        <w:tc>
          <w:tcPr>
            <w:tcW w:w="2535" w:type="dxa"/>
            <w:shd w:val="clear" w:color="auto" w:fill="FFFFFF"/>
          </w:tcPr>
          <w:p w14:paraId="73E7CF0B" w14:textId="5F0EA968" w:rsidR="00E42C58" w:rsidRPr="00DB6D42" w:rsidRDefault="009E4916"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lang w:val="en-US"/>
              </w:rPr>
              <w:t>·</w:t>
            </w:r>
            <w:r w:rsidRPr="00DB6D42">
              <w:rPr>
                <w:rFonts w:cs="Arial"/>
                <w:color w:val="000000"/>
                <w:sz w:val="18"/>
                <w:szCs w:val="18"/>
                <w:lang w:val="en-US"/>
              </w:rPr>
              <w:t>06 (0</w:t>
            </w:r>
            <w:r w:rsidR="00D041F0" w:rsidRPr="00DB6D42">
              <w:rPr>
                <w:lang w:val="en-US"/>
              </w:rPr>
              <w:t>·</w:t>
            </w:r>
            <w:r w:rsidRPr="00DB6D42">
              <w:rPr>
                <w:rFonts w:cs="Arial"/>
                <w:color w:val="000000"/>
                <w:sz w:val="18"/>
                <w:szCs w:val="18"/>
                <w:lang w:val="en-US"/>
              </w:rPr>
              <w:t>02;0</w:t>
            </w:r>
            <w:r w:rsidR="00D041F0" w:rsidRPr="00DB6D42">
              <w:rPr>
                <w:lang w:val="en-US"/>
              </w:rPr>
              <w:t>·</w:t>
            </w:r>
            <w:r w:rsidRPr="00DB6D42">
              <w:rPr>
                <w:rFonts w:cs="Arial"/>
                <w:color w:val="000000"/>
                <w:sz w:val="18"/>
                <w:szCs w:val="18"/>
                <w:lang w:val="en-US"/>
              </w:rPr>
              <w:t>21)</w:t>
            </w:r>
          </w:p>
        </w:tc>
      </w:tr>
      <w:tr w:rsidR="00E42C58" w:rsidRPr="00DB6D42" w14:paraId="77FFF3E4" w14:textId="77777777" w:rsidTr="00DB6D42">
        <w:trPr>
          <w:cantSplit/>
          <w:trHeight w:val="174"/>
          <w:jc w:val="center"/>
        </w:trPr>
        <w:tc>
          <w:tcPr>
            <w:tcW w:w="8556" w:type="dxa"/>
            <w:tcBorders>
              <w:bottom w:val="single" w:sz="4" w:space="0" w:color="auto"/>
            </w:tcBorders>
            <w:shd w:val="clear" w:color="auto" w:fill="FFFFFF"/>
          </w:tcPr>
          <w:p w14:paraId="2F6407EE" w14:textId="77777777" w:rsidR="00E42C58" w:rsidRPr="00DB6D42" w:rsidRDefault="00E42C58" w:rsidP="00BB5FF5">
            <w:pPr>
              <w:keepNext/>
              <w:adjustRightInd w:val="0"/>
              <w:spacing w:after="0"/>
              <w:rPr>
                <w:rFonts w:cs="Arial"/>
                <w:color w:val="000000"/>
                <w:sz w:val="18"/>
                <w:szCs w:val="18"/>
                <w:lang w:val="en-US"/>
              </w:rPr>
            </w:pPr>
          </w:p>
        </w:tc>
        <w:tc>
          <w:tcPr>
            <w:tcW w:w="2535" w:type="dxa"/>
            <w:tcBorders>
              <w:bottom w:val="single" w:sz="4" w:space="0" w:color="auto"/>
            </w:tcBorders>
            <w:shd w:val="clear" w:color="auto" w:fill="FFFFFF"/>
          </w:tcPr>
          <w:p w14:paraId="2B9112D3" w14:textId="77777777" w:rsidR="00E42C58" w:rsidRPr="00DB6D42" w:rsidRDefault="00E42C58" w:rsidP="00BB5FF5">
            <w:pPr>
              <w:keepNext/>
              <w:adjustRightInd w:val="0"/>
              <w:spacing w:after="0"/>
              <w:jc w:val="center"/>
              <w:rPr>
                <w:rFonts w:cs="Arial"/>
                <w:color w:val="000000"/>
                <w:sz w:val="18"/>
                <w:szCs w:val="18"/>
                <w:lang w:val="en-US"/>
              </w:rPr>
            </w:pPr>
          </w:p>
        </w:tc>
        <w:tc>
          <w:tcPr>
            <w:tcW w:w="2535" w:type="dxa"/>
            <w:tcBorders>
              <w:bottom w:val="single" w:sz="4" w:space="0" w:color="auto"/>
            </w:tcBorders>
            <w:shd w:val="clear" w:color="auto" w:fill="FFFFFF"/>
          </w:tcPr>
          <w:p w14:paraId="778BE890" w14:textId="77777777" w:rsidR="00E42C58" w:rsidRPr="00DB6D42" w:rsidRDefault="00E42C58" w:rsidP="00BB5FF5">
            <w:pPr>
              <w:keepNext/>
              <w:adjustRightInd w:val="0"/>
              <w:spacing w:after="0"/>
              <w:jc w:val="center"/>
              <w:rPr>
                <w:rFonts w:cs="Arial"/>
                <w:color w:val="000000"/>
                <w:sz w:val="18"/>
                <w:szCs w:val="18"/>
                <w:lang w:val="en-US"/>
              </w:rPr>
            </w:pPr>
          </w:p>
        </w:tc>
        <w:tc>
          <w:tcPr>
            <w:tcW w:w="2535" w:type="dxa"/>
            <w:tcBorders>
              <w:bottom w:val="single" w:sz="4" w:space="0" w:color="auto"/>
            </w:tcBorders>
            <w:shd w:val="clear" w:color="auto" w:fill="FFFFFF"/>
          </w:tcPr>
          <w:p w14:paraId="4D65DA31" w14:textId="77777777" w:rsidR="00E42C58" w:rsidRPr="00DB6D42" w:rsidRDefault="00E42C58" w:rsidP="00BB5FF5">
            <w:pPr>
              <w:keepNext/>
              <w:adjustRightInd w:val="0"/>
              <w:spacing w:after="0"/>
              <w:jc w:val="center"/>
              <w:rPr>
                <w:rFonts w:cs="Arial"/>
                <w:color w:val="000000"/>
                <w:sz w:val="18"/>
                <w:szCs w:val="18"/>
                <w:lang w:val="en-US"/>
              </w:rPr>
            </w:pPr>
          </w:p>
        </w:tc>
        <w:tc>
          <w:tcPr>
            <w:tcW w:w="2535" w:type="dxa"/>
            <w:tcBorders>
              <w:bottom w:val="single" w:sz="4" w:space="0" w:color="auto"/>
            </w:tcBorders>
            <w:shd w:val="clear" w:color="auto" w:fill="FFFFFF"/>
          </w:tcPr>
          <w:p w14:paraId="577069A2" w14:textId="77777777" w:rsidR="00E42C58" w:rsidRPr="00DB6D42" w:rsidRDefault="00E42C58" w:rsidP="00BB5FF5">
            <w:pPr>
              <w:keepNext/>
              <w:adjustRightInd w:val="0"/>
              <w:spacing w:after="0"/>
              <w:jc w:val="center"/>
              <w:rPr>
                <w:rFonts w:cs="Arial"/>
                <w:color w:val="000000"/>
                <w:sz w:val="18"/>
                <w:szCs w:val="18"/>
                <w:lang w:val="en-US"/>
              </w:rPr>
            </w:pPr>
          </w:p>
        </w:tc>
        <w:tc>
          <w:tcPr>
            <w:tcW w:w="2535" w:type="dxa"/>
            <w:tcBorders>
              <w:bottom w:val="single" w:sz="4" w:space="0" w:color="auto"/>
            </w:tcBorders>
            <w:shd w:val="clear" w:color="auto" w:fill="FFFFFF"/>
          </w:tcPr>
          <w:p w14:paraId="0E9151E8" w14:textId="77777777" w:rsidR="00E42C58" w:rsidRPr="00DB6D42" w:rsidRDefault="00E42C58" w:rsidP="00BB5FF5">
            <w:pPr>
              <w:keepNext/>
              <w:adjustRightInd w:val="0"/>
              <w:spacing w:after="0"/>
              <w:jc w:val="center"/>
              <w:rPr>
                <w:rFonts w:cs="Arial"/>
                <w:color w:val="000000"/>
                <w:sz w:val="18"/>
                <w:szCs w:val="18"/>
                <w:lang w:val="en-US"/>
              </w:rPr>
            </w:pPr>
          </w:p>
        </w:tc>
      </w:tr>
    </w:tbl>
    <w:p w14:paraId="313C5E07" w14:textId="77777777" w:rsidR="007D484D" w:rsidRPr="00DB6D42" w:rsidRDefault="007D484D" w:rsidP="00BB5FF5">
      <w:pPr>
        <w:keepNext/>
        <w:adjustRightInd w:val="0"/>
        <w:spacing w:after="0"/>
        <w:rPr>
          <w:rFonts w:cs="Arial"/>
          <w:color w:val="000000"/>
          <w:sz w:val="18"/>
          <w:szCs w:val="18"/>
          <w:lang w:val="en-US"/>
        </w:rPr>
      </w:pPr>
    </w:p>
    <w:p w14:paraId="73EFF11B" w14:textId="77777777" w:rsidR="002F28B5" w:rsidRPr="00DB6D42" w:rsidRDefault="002F28B5" w:rsidP="00BB5FF5">
      <w:pPr>
        <w:spacing w:after="0"/>
        <w:rPr>
          <w:rFonts w:cs="Arial"/>
          <w:color w:val="000000"/>
          <w:sz w:val="18"/>
          <w:szCs w:val="18"/>
          <w:lang w:val="en-US"/>
        </w:rPr>
      </w:pPr>
      <w:r w:rsidRPr="00DB6D42">
        <w:rPr>
          <w:rFonts w:cs="Arial"/>
          <w:color w:val="000000"/>
          <w:sz w:val="18"/>
          <w:szCs w:val="18"/>
          <w:lang w:val="en-US"/>
        </w:rPr>
        <w:br w:type="page"/>
      </w:r>
    </w:p>
    <w:p w14:paraId="57018C59" w14:textId="77777777" w:rsidR="007D484D" w:rsidRPr="00DB6D42" w:rsidRDefault="007D484D" w:rsidP="00BB5FF5">
      <w:pPr>
        <w:keepNext/>
        <w:adjustRightInd w:val="0"/>
        <w:spacing w:after="0"/>
        <w:rPr>
          <w:rFonts w:cs="Arial"/>
          <w:color w:val="000000"/>
          <w:sz w:val="18"/>
          <w:szCs w:val="18"/>
          <w:lang w:val="en-US"/>
        </w:rPr>
      </w:pPr>
    </w:p>
    <w:p w14:paraId="71720FC4" w14:textId="483ED6A2" w:rsidR="007D484D" w:rsidRPr="00DB6D42" w:rsidRDefault="007D484D" w:rsidP="00BB5FF5">
      <w:pPr>
        <w:spacing w:before="80" w:after="80"/>
        <w:jc w:val="both"/>
        <w:rPr>
          <w:lang w:val="en-US"/>
        </w:rPr>
      </w:pPr>
      <w:r w:rsidRPr="00DB6D42">
        <w:rPr>
          <w:lang w:val="en-US"/>
        </w:rPr>
        <w:t>Table 3. Changes from baseline in parasite load until 12 months of follow up in parasite load, conventional serology and AT C</w:t>
      </w:r>
      <w:r w:rsidR="0001400A" w:rsidRPr="00DB6D42">
        <w:rPr>
          <w:lang w:val="en-US"/>
        </w:rPr>
        <w:t>L-</w:t>
      </w:r>
      <w:r w:rsidRPr="00DB6D42">
        <w:rPr>
          <w:lang w:val="en-US"/>
        </w:rPr>
        <w:t>E</w:t>
      </w:r>
      <w:r w:rsidR="0092183E" w:rsidRPr="00DB6D42">
        <w:rPr>
          <w:lang w:val="en-US"/>
        </w:rPr>
        <w:t>LISA</w:t>
      </w:r>
    </w:p>
    <w:p w14:paraId="3FD3BF73" w14:textId="77777777" w:rsidR="007D484D" w:rsidRPr="00DB6D42" w:rsidRDefault="007D484D" w:rsidP="00BB5FF5">
      <w:pPr>
        <w:keepNext/>
        <w:adjustRightInd w:val="0"/>
        <w:spacing w:after="0"/>
        <w:rPr>
          <w:rFonts w:cs="Arial"/>
          <w:color w:val="000000"/>
          <w:sz w:val="18"/>
          <w:szCs w:val="18"/>
          <w:lang w:val="en-US"/>
        </w:rPr>
      </w:pPr>
    </w:p>
    <w:tbl>
      <w:tblPr>
        <w:tblW w:w="5000" w:type="pct"/>
        <w:jc w:val="center"/>
        <w:tblLayout w:type="fixed"/>
        <w:tblCellMar>
          <w:left w:w="0" w:type="dxa"/>
          <w:right w:w="0" w:type="dxa"/>
        </w:tblCellMar>
        <w:tblLook w:val="0000" w:firstRow="0" w:lastRow="0" w:firstColumn="0" w:lastColumn="0" w:noHBand="0" w:noVBand="0"/>
      </w:tblPr>
      <w:tblGrid>
        <w:gridCol w:w="5445"/>
        <w:gridCol w:w="1703"/>
        <w:gridCol w:w="1703"/>
        <w:gridCol w:w="1703"/>
        <w:gridCol w:w="1703"/>
        <w:gridCol w:w="1703"/>
      </w:tblGrid>
      <w:tr w:rsidR="007D484D" w:rsidRPr="00DB6D42" w14:paraId="17EA22DA" w14:textId="77777777" w:rsidTr="00DB6D42">
        <w:trPr>
          <w:cantSplit/>
          <w:jc w:val="center"/>
        </w:trPr>
        <w:tc>
          <w:tcPr>
            <w:tcW w:w="5445" w:type="dxa"/>
            <w:tcBorders>
              <w:top w:val="single" w:sz="4" w:space="0" w:color="auto"/>
              <w:bottom w:val="single" w:sz="4" w:space="0" w:color="auto"/>
            </w:tcBorders>
            <w:shd w:val="clear" w:color="auto" w:fill="FFFFFF"/>
            <w:vAlign w:val="center"/>
          </w:tcPr>
          <w:p w14:paraId="39647253" w14:textId="77777777" w:rsidR="007D484D" w:rsidRPr="00DB6D42" w:rsidRDefault="007D484D" w:rsidP="00BB5FF5">
            <w:pPr>
              <w:keepNext/>
              <w:adjustRightInd w:val="0"/>
              <w:spacing w:after="0"/>
              <w:rPr>
                <w:rFonts w:cs="Arial"/>
                <w:color w:val="000000"/>
                <w:sz w:val="18"/>
                <w:szCs w:val="18"/>
                <w:lang w:val="en-US"/>
              </w:rPr>
            </w:pPr>
          </w:p>
        </w:tc>
        <w:tc>
          <w:tcPr>
            <w:tcW w:w="1703" w:type="dxa"/>
            <w:tcBorders>
              <w:top w:val="single" w:sz="4" w:space="0" w:color="auto"/>
              <w:bottom w:val="single" w:sz="4" w:space="0" w:color="auto"/>
            </w:tcBorders>
            <w:shd w:val="clear" w:color="auto" w:fill="FFFFFF"/>
            <w:vAlign w:val="center"/>
          </w:tcPr>
          <w:p w14:paraId="5D82A1EF" w14:textId="77777777" w:rsidR="007D484D" w:rsidRPr="00DB6D42" w:rsidRDefault="007D484D"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Placebo</w:t>
            </w:r>
            <w:r w:rsidRPr="00DB6D42">
              <w:rPr>
                <w:rFonts w:cs="Arial"/>
                <w:color w:val="000000"/>
                <w:sz w:val="18"/>
                <w:szCs w:val="18"/>
                <w:lang w:val="en-US"/>
              </w:rPr>
              <w:br/>
              <w:t>(n=47)</w:t>
            </w:r>
          </w:p>
        </w:tc>
        <w:tc>
          <w:tcPr>
            <w:tcW w:w="1703" w:type="dxa"/>
            <w:tcBorders>
              <w:top w:val="single" w:sz="4" w:space="0" w:color="auto"/>
              <w:bottom w:val="single" w:sz="4" w:space="0" w:color="auto"/>
            </w:tcBorders>
            <w:shd w:val="clear" w:color="auto" w:fill="FFFFFF"/>
            <w:vAlign w:val="center"/>
          </w:tcPr>
          <w:p w14:paraId="778B281C" w14:textId="77777777" w:rsidR="007D484D" w:rsidRPr="00DB6D42" w:rsidRDefault="007D484D"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LD</w:t>
            </w:r>
            <w:r w:rsidRPr="00DB6D42">
              <w:rPr>
                <w:rFonts w:cs="Arial"/>
                <w:color w:val="000000"/>
                <w:sz w:val="18"/>
                <w:szCs w:val="18"/>
                <w:lang w:val="en-US"/>
              </w:rPr>
              <w:br/>
              <w:t>(n=48)</w:t>
            </w:r>
          </w:p>
        </w:tc>
        <w:tc>
          <w:tcPr>
            <w:tcW w:w="1703" w:type="dxa"/>
            <w:tcBorders>
              <w:top w:val="single" w:sz="4" w:space="0" w:color="auto"/>
              <w:bottom w:val="single" w:sz="4" w:space="0" w:color="auto"/>
            </w:tcBorders>
            <w:shd w:val="clear" w:color="auto" w:fill="FFFFFF"/>
            <w:vAlign w:val="center"/>
          </w:tcPr>
          <w:p w14:paraId="308EB5A8" w14:textId="77777777" w:rsidR="007D484D" w:rsidRPr="00DB6D42" w:rsidRDefault="007D484D"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SD</w:t>
            </w:r>
            <w:r w:rsidRPr="00DB6D42">
              <w:rPr>
                <w:rFonts w:cs="Arial"/>
                <w:color w:val="000000"/>
                <w:sz w:val="18"/>
                <w:szCs w:val="18"/>
                <w:lang w:val="en-US"/>
              </w:rPr>
              <w:br/>
              <w:t>(n=46)</w:t>
            </w:r>
          </w:p>
        </w:tc>
        <w:tc>
          <w:tcPr>
            <w:tcW w:w="1703" w:type="dxa"/>
            <w:tcBorders>
              <w:top w:val="single" w:sz="4" w:space="0" w:color="auto"/>
              <w:bottom w:val="single" w:sz="4" w:space="0" w:color="auto"/>
            </w:tcBorders>
            <w:shd w:val="clear" w:color="auto" w:fill="FFFFFF"/>
            <w:vAlign w:val="center"/>
          </w:tcPr>
          <w:p w14:paraId="6DDBAEB1" w14:textId="77777777" w:rsidR="007D484D" w:rsidRPr="00DB6D42" w:rsidRDefault="007D484D"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HD</w:t>
            </w:r>
            <w:r w:rsidRPr="00DB6D42">
              <w:rPr>
                <w:rFonts w:cs="Arial"/>
                <w:color w:val="000000"/>
                <w:sz w:val="18"/>
                <w:szCs w:val="18"/>
                <w:lang w:val="en-US"/>
              </w:rPr>
              <w:br/>
              <w:t>(n=45)</w:t>
            </w:r>
          </w:p>
        </w:tc>
        <w:tc>
          <w:tcPr>
            <w:tcW w:w="1703" w:type="dxa"/>
            <w:tcBorders>
              <w:top w:val="single" w:sz="4" w:space="0" w:color="auto"/>
              <w:bottom w:val="single" w:sz="4" w:space="0" w:color="auto"/>
            </w:tcBorders>
            <w:shd w:val="clear" w:color="auto" w:fill="FFFFFF"/>
            <w:vAlign w:val="center"/>
          </w:tcPr>
          <w:p w14:paraId="1FC9B324" w14:textId="77777777" w:rsidR="007D484D" w:rsidRPr="00DB6D42" w:rsidRDefault="007D484D"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BZN</w:t>
            </w:r>
            <w:r w:rsidRPr="00DB6D42">
              <w:rPr>
                <w:rFonts w:cs="Arial"/>
                <w:color w:val="000000"/>
                <w:sz w:val="18"/>
                <w:szCs w:val="18"/>
                <w:lang w:val="en-US"/>
              </w:rPr>
              <w:br/>
              <w:t>(N=45)</w:t>
            </w:r>
          </w:p>
        </w:tc>
      </w:tr>
      <w:tr w:rsidR="00CC4C39" w:rsidRPr="00DB6D42" w14:paraId="69D9B88F" w14:textId="77777777" w:rsidTr="00DB6D42">
        <w:trPr>
          <w:cantSplit/>
          <w:jc w:val="center"/>
        </w:trPr>
        <w:tc>
          <w:tcPr>
            <w:tcW w:w="5445" w:type="dxa"/>
            <w:tcBorders>
              <w:top w:val="single" w:sz="4" w:space="0" w:color="auto"/>
            </w:tcBorders>
            <w:shd w:val="clear" w:color="auto" w:fill="FFFFFF"/>
          </w:tcPr>
          <w:p w14:paraId="0C47D692" w14:textId="77777777" w:rsidR="00CC4C39" w:rsidRPr="00DB6D42" w:rsidRDefault="00CC4C39" w:rsidP="00BB5FF5">
            <w:pPr>
              <w:keepNext/>
              <w:adjustRightInd w:val="0"/>
              <w:spacing w:after="0"/>
              <w:rPr>
                <w:rFonts w:cs="Arial"/>
                <w:color w:val="000000"/>
                <w:sz w:val="18"/>
                <w:szCs w:val="18"/>
                <w:lang w:val="en-US"/>
              </w:rPr>
            </w:pPr>
            <w:r w:rsidRPr="00DB6D42">
              <w:rPr>
                <w:rFonts w:cs="Arial"/>
                <w:color w:val="000000"/>
                <w:sz w:val="18"/>
                <w:szCs w:val="18"/>
                <w:lang w:val="en-US"/>
              </w:rPr>
              <w:t>Changes from baseline in parasite load (GM Ratio (95%CI))</w:t>
            </w:r>
          </w:p>
        </w:tc>
        <w:tc>
          <w:tcPr>
            <w:tcW w:w="1703" w:type="dxa"/>
            <w:tcBorders>
              <w:top w:val="single" w:sz="4" w:space="0" w:color="auto"/>
            </w:tcBorders>
            <w:shd w:val="clear" w:color="auto" w:fill="FFFFFF"/>
          </w:tcPr>
          <w:p w14:paraId="3AFF5C8E"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tcBorders>
              <w:top w:val="single" w:sz="4" w:space="0" w:color="auto"/>
            </w:tcBorders>
            <w:shd w:val="clear" w:color="auto" w:fill="FFFFFF"/>
          </w:tcPr>
          <w:p w14:paraId="718E924B"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tcBorders>
              <w:top w:val="single" w:sz="4" w:space="0" w:color="auto"/>
            </w:tcBorders>
            <w:shd w:val="clear" w:color="auto" w:fill="FFFFFF"/>
          </w:tcPr>
          <w:p w14:paraId="058F37DE"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tcBorders>
              <w:top w:val="single" w:sz="4" w:space="0" w:color="auto"/>
            </w:tcBorders>
            <w:shd w:val="clear" w:color="auto" w:fill="FFFFFF"/>
          </w:tcPr>
          <w:p w14:paraId="625EF36C"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tcBorders>
              <w:top w:val="single" w:sz="4" w:space="0" w:color="auto"/>
            </w:tcBorders>
            <w:shd w:val="clear" w:color="auto" w:fill="FFFFFF"/>
          </w:tcPr>
          <w:p w14:paraId="6FAD63C7" w14:textId="77777777" w:rsidR="00CC4C39" w:rsidRPr="00DB6D42" w:rsidRDefault="00CC4C39" w:rsidP="00BB5FF5">
            <w:pPr>
              <w:keepNext/>
              <w:adjustRightInd w:val="0"/>
              <w:spacing w:after="0"/>
              <w:jc w:val="center"/>
              <w:rPr>
                <w:rFonts w:cs="Arial"/>
                <w:color w:val="000000"/>
                <w:sz w:val="18"/>
                <w:szCs w:val="18"/>
                <w:lang w:val="en-US"/>
              </w:rPr>
            </w:pPr>
          </w:p>
        </w:tc>
      </w:tr>
      <w:tr w:rsidR="00CC4C39" w:rsidRPr="00DB6D42" w14:paraId="0BB9FD5C" w14:textId="77777777" w:rsidTr="00DB6D42">
        <w:trPr>
          <w:cantSplit/>
          <w:jc w:val="center"/>
        </w:trPr>
        <w:tc>
          <w:tcPr>
            <w:tcW w:w="5445" w:type="dxa"/>
            <w:shd w:val="clear" w:color="auto" w:fill="FFFFFF"/>
          </w:tcPr>
          <w:p w14:paraId="608A3C1C" w14:textId="77777777" w:rsidR="00CC4C39" w:rsidRPr="00DB6D42" w:rsidRDefault="00CC4C39" w:rsidP="00BB5FF5">
            <w:pPr>
              <w:keepNext/>
              <w:adjustRightInd w:val="0"/>
              <w:spacing w:after="0"/>
              <w:rPr>
                <w:rFonts w:cs="Arial"/>
                <w:color w:val="000000"/>
                <w:sz w:val="18"/>
                <w:szCs w:val="18"/>
                <w:lang w:val="en-US"/>
              </w:rPr>
            </w:pPr>
            <w:r w:rsidRPr="00DB6D42">
              <w:rPr>
                <w:rFonts w:cs="Arial"/>
                <w:color w:val="000000"/>
                <w:sz w:val="18"/>
                <w:szCs w:val="18"/>
                <w:lang w:val="en-US"/>
              </w:rPr>
              <w:t>D8</w:t>
            </w:r>
          </w:p>
        </w:tc>
        <w:tc>
          <w:tcPr>
            <w:tcW w:w="1703" w:type="dxa"/>
            <w:shd w:val="clear" w:color="auto" w:fill="FFFFFF"/>
          </w:tcPr>
          <w:p w14:paraId="3230E92C" w14:textId="2FEB21D8"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1</w:t>
            </w:r>
            <w:r w:rsidR="00D041F0" w:rsidRPr="00DB6D42">
              <w:rPr>
                <w:lang w:val="en-US"/>
              </w:rPr>
              <w:t>·</w:t>
            </w:r>
            <w:r w:rsidRPr="00DB6D42">
              <w:rPr>
                <w:rFonts w:cs="Arial"/>
                <w:color w:val="000000"/>
                <w:sz w:val="18"/>
                <w:szCs w:val="18"/>
                <w:lang w:val="en-US"/>
              </w:rPr>
              <w:t>30(0</w:t>
            </w:r>
            <w:r w:rsidR="00D041F0" w:rsidRPr="00DB6D42">
              <w:rPr>
                <w:lang w:val="en-US"/>
              </w:rPr>
              <w:t>·</w:t>
            </w:r>
            <w:r w:rsidRPr="00DB6D42">
              <w:rPr>
                <w:rFonts w:cs="Arial"/>
                <w:color w:val="000000"/>
                <w:sz w:val="18"/>
                <w:szCs w:val="18"/>
                <w:lang w:val="en-US"/>
              </w:rPr>
              <w:t>78;2</w:t>
            </w:r>
            <w:r w:rsidR="00D041F0" w:rsidRPr="00DB6D42">
              <w:rPr>
                <w:lang w:val="en-US"/>
              </w:rPr>
              <w:t>·</w:t>
            </w:r>
            <w:r w:rsidRPr="00DB6D42">
              <w:rPr>
                <w:rFonts w:cs="Arial"/>
                <w:color w:val="000000"/>
                <w:sz w:val="18"/>
                <w:szCs w:val="18"/>
                <w:lang w:val="en-US"/>
              </w:rPr>
              <w:t>16)</w:t>
            </w:r>
          </w:p>
        </w:tc>
        <w:tc>
          <w:tcPr>
            <w:tcW w:w="1703" w:type="dxa"/>
            <w:shd w:val="clear" w:color="auto" w:fill="FFFFFF"/>
          </w:tcPr>
          <w:p w14:paraId="196DFF26" w14:textId="0ACC1B7C"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lang w:val="en-US"/>
              </w:rPr>
              <w:t>·</w:t>
            </w:r>
            <w:r w:rsidRPr="00DB6D42">
              <w:rPr>
                <w:rFonts w:cs="Arial"/>
                <w:color w:val="000000"/>
                <w:sz w:val="18"/>
                <w:szCs w:val="18"/>
                <w:lang w:val="en-US"/>
              </w:rPr>
              <w:t>17(0</w:t>
            </w:r>
            <w:r w:rsidR="00D041F0" w:rsidRPr="00DB6D42">
              <w:rPr>
                <w:lang w:val="en-US"/>
              </w:rPr>
              <w:t>·</w:t>
            </w:r>
            <w:r w:rsidRPr="00DB6D42">
              <w:rPr>
                <w:rFonts w:cs="Arial"/>
                <w:color w:val="000000"/>
                <w:sz w:val="18"/>
                <w:szCs w:val="18"/>
                <w:lang w:val="en-US"/>
              </w:rPr>
              <w:t>10;0</w:t>
            </w:r>
            <w:r w:rsidR="00D041F0" w:rsidRPr="00DB6D42">
              <w:rPr>
                <w:lang w:val="en-US"/>
              </w:rPr>
              <w:t>·</w:t>
            </w:r>
            <w:r w:rsidRPr="00DB6D42">
              <w:rPr>
                <w:rFonts w:cs="Arial"/>
                <w:color w:val="000000"/>
                <w:sz w:val="18"/>
                <w:szCs w:val="18"/>
                <w:lang w:val="en-US"/>
              </w:rPr>
              <w:t>28)</w:t>
            </w:r>
          </w:p>
        </w:tc>
        <w:tc>
          <w:tcPr>
            <w:tcW w:w="1703" w:type="dxa"/>
            <w:shd w:val="clear" w:color="auto" w:fill="FFFFFF"/>
          </w:tcPr>
          <w:p w14:paraId="2BE21731" w14:textId="1B3CB8ED"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lang w:val="en-US"/>
              </w:rPr>
              <w:t>·</w:t>
            </w:r>
            <w:r w:rsidRPr="00DB6D42">
              <w:rPr>
                <w:rFonts w:cs="Arial"/>
                <w:color w:val="000000"/>
                <w:sz w:val="18"/>
                <w:szCs w:val="18"/>
                <w:lang w:val="en-US"/>
              </w:rPr>
              <w:t>09(0</w:t>
            </w:r>
            <w:r w:rsidR="00D041F0" w:rsidRPr="00DB6D42">
              <w:rPr>
                <w:rFonts w:cs="Arial"/>
                <w:color w:val="000000"/>
                <w:sz w:val="18"/>
                <w:szCs w:val="18"/>
                <w:lang w:val="en-US"/>
              </w:rPr>
              <w:t>·</w:t>
            </w:r>
            <w:r w:rsidRPr="00DB6D42">
              <w:rPr>
                <w:rFonts w:cs="Arial"/>
                <w:color w:val="000000"/>
                <w:sz w:val="18"/>
                <w:szCs w:val="18"/>
                <w:lang w:val="en-US"/>
              </w:rPr>
              <w:t>06;0</w:t>
            </w:r>
            <w:r w:rsidR="00D041F0" w:rsidRPr="00DB6D42">
              <w:rPr>
                <w:rFonts w:cs="Arial"/>
                <w:color w:val="000000"/>
                <w:sz w:val="18"/>
                <w:szCs w:val="18"/>
                <w:lang w:val="en-US"/>
              </w:rPr>
              <w:t>·</w:t>
            </w:r>
            <w:r w:rsidRPr="00DB6D42">
              <w:rPr>
                <w:rFonts w:cs="Arial"/>
                <w:color w:val="000000"/>
                <w:sz w:val="18"/>
                <w:szCs w:val="18"/>
                <w:lang w:val="en-US"/>
              </w:rPr>
              <w:t>16)</w:t>
            </w:r>
          </w:p>
        </w:tc>
        <w:tc>
          <w:tcPr>
            <w:tcW w:w="1703" w:type="dxa"/>
            <w:shd w:val="clear" w:color="auto" w:fill="FFFFFF"/>
          </w:tcPr>
          <w:p w14:paraId="1BA08A18" w14:textId="3A939E7B"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13(0</w:t>
            </w:r>
            <w:r w:rsidR="00D041F0" w:rsidRPr="00DB6D42">
              <w:rPr>
                <w:rFonts w:cs="Arial"/>
                <w:color w:val="000000"/>
                <w:sz w:val="18"/>
                <w:szCs w:val="18"/>
                <w:lang w:val="en-US"/>
              </w:rPr>
              <w:t>·</w:t>
            </w:r>
            <w:r w:rsidRPr="00DB6D42">
              <w:rPr>
                <w:rFonts w:cs="Arial"/>
                <w:color w:val="000000"/>
                <w:sz w:val="18"/>
                <w:szCs w:val="18"/>
                <w:lang w:val="en-US"/>
              </w:rPr>
              <w:t>08;0</w:t>
            </w:r>
            <w:r w:rsidR="00D041F0" w:rsidRPr="00DB6D42">
              <w:rPr>
                <w:rFonts w:cs="Arial"/>
                <w:color w:val="000000"/>
                <w:sz w:val="18"/>
                <w:szCs w:val="18"/>
                <w:lang w:val="en-US"/>
              </w:rPr>
              <w:t>·</w:t>
            </w:r>
            <w:r w:rsidRPr="00DB6D42">
              <w:rPr>
                <w:rFonts w:cs="Arial"/>
                <w:color w:val="000000"/>
                <w:sz w:val="18"/>
                <w:szCs w:val="18"/>
                <w:lang w:val="en-US"/>
              </w:rPr>
              <w:t>22)</w:t>
            </w:r>
          </w:p>
        </w:tc>
        <w:tc>
          <w:tcPr>
            <w:tcW w:w="1703" w:type="dxa"/>
            <w:shd w:val="clear" w:color="auto" w:fill="FFFFFF"/>
          </w:tcPr>
          <w:p w14:paraId="78DE85A5" w14:textId="2086D5E5"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10(0</w:t>
            </w:r>
            <w:r w:rsidR="00D041F0" w:rsidRPr="00DB6D42">
              <w:rPr>
                <w:rFonts w:cs="Arial"/>
                <w:color w:val="000000"/>
                <w:sz w:val="18"/>
                <w:szCs w:val="18"/>
                <w:lang w:val="en-US"/>
              </w:rPr>
              <w:t>·</w:t>
            </w:r>
            <w:r w:rsidRPr="00DB6D42">
              <w:rPr>
                <w:rFonts w:cs="Arial"/>
                <w:color w:val="000000"/>
                <w:sz w:val="18"/>
                <w:szCs w:val="18"/>
                <w:lang w:val="en-US"/>
              </w:rPr>
              <w:t>06;0</w:t>
            </w:r>
            <w:r w:rsidR="00D041F0" w:rsidRPr="00DB6D42">
              <w:rPr>
                <w:rFonts w:cs="Arial"/>
                <w:color w:val="000000"/>
                <w:sz w:val="18"/>
                <w:szCs w:val="18"/>
                <w:lang w:val="en-US"/>
              </w:rPr>
              <w:t>·</w:t>
            </w:r>
            <w:r w:rsidRPr="00DB6D42">
              <w:rPr>
                <w:rFonts w:cs="Arial"/>
                <w:color w:val="000000"/>
                <w:sz w:val="18"/>
                <w:szCs w:val="18"/>
                <w:lang w:val="en-US"/>
              </w:rPr>
              <w:t>17)</w:t>
            </w:r>
          </w:p>
        </w:tc>
      </w:tr>
      <w:tr w:rsidR="00CC4C39" w:rsidRPr="00DB6D42" w14:paraId="4E35A77B" w14:textId="77777777" w:rsidTr="00DB6D42">
        <w:trPr>
          <w:cantSplit/>
          <w:jc w:val="center"/>
        </w:trPr>
        <w:tc>
          <w:tcPr>
            <w:tcW w:w="5445" w:type="dxa"/>
            <w:shd w:val="clear" w:color="auto" w:fill="FFFFFF"/>
          </w:tcPr>
          <w:p w14:paraId="793973FB" w14:textId="77777777" w:rsidR="00CC4C39" w:rsidRPr="00DB6D42" w:rsidRDefault="00CC4C39" w:rsidP="00BB5FF5">
            <w:pPr>
              <w:keepNext/>
              <w:adjustRightInd w:val="0"/>
              <w:spacing w:after="0"/>
              <w:rPr>
                <w:rFonts w:cs="Arial"/>
                <w:color w:val="000000"/>
                <w:sz w:val="18"/>
                <w:szCs w:val="18"/>
                <w:lang w:val="en-US"/>
              </w:rPr>
            </w:pPr>
            <w:r w:rsidRPr="00DB6D42">
              <w:rPr>
                <w:rFonts w:cs="Arial"/>
                <w:color w:val="000000"/>
                <w:sz w:val="18"/>
                <w:szCs w:val="18"/>
                <w:lang w:val="en-US"/>
              </w:rPr>
              <w:t>D15</w:t>
            </w:r>
          </w:p>
        </w:tc>
        <w:tc>
          <w:tcPr>
            <w:tcW w:w="1703" w:type="dxa"/>
            <w:shd w:val="clear" w:color="auto" w:fill="FFFFFF"/>
          </w:tcPr>
          <w:p w14:paraId="2C2361EA" w14:textId="65951F0D"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81(0</w:t>
            </w:r>
            <w:r w:rsidR="00D041F0" w:rsidRPr="00DB6D42">
              <w:rPr>
                <w:rFonts w:cs="Arial"/>
                <w:color w:val="000000"/>
                <w:sz w:val="18"/>
                <w:szCs w:val="18"/>
                <w:lang w:val="en-US"/>
              </w:rPr>
              <w:t>·</w:t>
            </w:r>
            <w:r w:rsidRPr="00DB6D42">
              <w:rPr>
                <w:rFonts w:cs="Arial"/>
                <w:color w:val="000000"/>
                <w:sz w:val="18"/>
                <w:szCs w:val="18"/>
                <w:lang w:val="en-US"/>
              </w:rPr>
              <w:t>54;1</w:t>
            </w:r>
            <w:r w:rsidR="00D041F0" w:rsidRPr="00DB6D42">
              <w:rPr>
                <w:rFonts w:cs="Arial"/>
                <w:color w:val="000000"/>
                <w:sz w:val="18"/>
                <w:szCs w:val="18"/>
                <w:lang w:val="en-US"/>
              </w:rPr>
              <w:t>·</w:t>
            </w:r>
            <w:r w:rsidRPr="00DB6D42">
              <w:rPr>
                <w:rFonts w:cs="Arial"/>
                <w:color w:val="000000"/>
                <w:sz w:val="18"/>
                <w:szCs w:val="18"/>
                <w:lang w:val="en-US"/>
              </w:rPr>
              <w:t>20)</w:t>
            </w:r>
          </w:p>
        </w:tc>
        <w:tc>
          <w:tcPr>
            <w:tcW w:w="1703" w:type="dxa"/>
            <w:shd w:val="clear" w:color="auto" w:fill="FFFFFF"/>
          </w:tcPr>
          <w:p w14:paraId="6470200D" w14:textId="4BDE5154"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11(0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23)</w:t>
            </w:r>
          </w:p>
        </w:tc>
        <w:tc>
          <w:tcPr>
            <w:tcW w:w="1703" w:type="dxa"/>
            <w:shd w:val="clear" w:color="auto" w:fill="FFFFFF"/>
          </w:tcPr>
          <w:p w14:paraId="3C8A8EF4" w14:textId="0E747929"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05;0</w:t>
            </w:r>
            <w:r w:rsidR="00D041F0" w:rsidRPr="00DB6D42">
              <w:rPr>
                <w:rFonts w:cs="Arial"/>
                <w:color w:val="000000"/>
                <w:sz w:val="18"/>
                <w:szCs w:val="18"/>
                <w:lang w:val="en-US"/>
              </w:rPr>
              <w:t>·</w:t>
            </w:r>
            <w:r w:rsidRPr="00DB6D42">
              <w:rPr>
                <w:rFonts w:cs="Arial"/>
                <w:color w:val="000000"/>
                <w:sz w:val="18"/>
                <w:szCs w:val="18"/>
                <w:lang w:val="en-US"/>
              </w:rPr>
              <w:t>11)</w:t>
            </w:r>
          </w:p>
        </w:tc>
        <w:tc>
          <w:tcPr>
            <w:tcW w:w="1703" w:type="dxa"/>
            <w:shd w:val="clear" w:color="auto" w:fill="FFFFFF"/>
          </w:tcPr>
          <w:p w14:paraId="2A9B06A0" w14:textId="2182BE90"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09(0</w:t>
            </w:r>
            <w:r w:rsidR="00D041F0" w:rsidRPr="00DB6D42">
              <w:rPr>
                <w:rFonts w:cs="Arial"/>
                <w:color w:val="000000"/>
                <w:sz w:val="18"/>
                <w:szCs w:val="18"/>
                <w:lang w:val="en-US"/>
              </w:rPr>
              <w:t>·</w:t>
            </w:r>
            <w:r w:rsidRPr="00DB6D42">
              <w:rPr>
                <w:rFonts w:cs="Arial"/>
                <w:color w:val="000000"/>
                <w:sz w:val="18"/>
                <w:szCs w:val="18"/>
                <w:lang w:val="en-US"/>
              </w:rPr>
              <w:t>06;0</w:t>
            </w:r>
            <w:r w:rsidR="00D041F0" w:rsidRPr="00DB6D42">
              <w:rPr>
                <w:rFonts w:cs="Arial"/>
                <w:color w:val="000000"/>
                <w:sz w:val="18"/>
                <w:szCs w:val="18"/>
                <w:lang w:val="en-US"/>
              </w:rPr>
              <w:t>·</w:t>
            </w:r>
            <w:r w:rsidRPr="00DB6D42">
              <w:rPr>
                <w:rFonts w:cs="Arial"/>
                <w:color w:val="000000"/>
                <w:sz w:val="18"/>
                <w:szCs w:val="18"/>
                <w:lang w:val="en-US"/>
              </w:rPr>
              <w:t>14)</w:t>
            </w:r>
          </w:p>
        </w:tc>
        <w:tc>
          <w:tcPr>
            <w:tcW w:w="1703" w:type="dxa"/>
            <w:shd w:val="clear" w:color="auto" w:fill="FFFFFF"/>
          </w:tcPr>
          <w:p w14:paraId="1859F5C1" w14:textId="3C18B0EA"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05;0</w:t>
            </w:r>
            <w:r w:rsidR="00D041F0" w:rsidRPr="00DB6D42">
              <w:rPr>
                <w:rFonts w:cs="Arial"/>
                <w:color w:val="000000"/>
                <w:sz w:val="18"/>
                <w:szCs w:val="18"/>
                <w:lang w:val="en-US"/>
              </w:rPr>
              <w:t>·</w:t>
            </w:r>
            <w:r w:rsidRPr="00DB6D42">
              <w:rPr>
                <w:rFonts w:cs="Arial"/>
                <w:color w:val="000000"/>
                <w:sz w:val="18"/>
                <w:szCs w:val="18"/>
                <w:lang w:val="en-US"/>
              </w:rPr>
              <w:t>10)</w:t>
            </w:r>
          </w:p>
        </w:tc>
      </w:tr>
      <w:tr w:rsidR="00CC4C39" w:rsidRPr="00DB6D42" w14:paraId="4BAACEF5" w14:textId="77777777" w:rsidTr="00DB6D42">
        <w:trPr>
          <w:cantSplit/>
          <w:jc w:val="center"/>
        </w:trPr>
        <w:tc>
          <w:tcPr>
            <w:tcW w:w="5445" w:type="dxa"/>
            <w:shd w:val="clear" w:color="auto" w:fill="FFFFFF"/>
          </w:tcPr>
          <w:p w14:paraId="7B6706A0" w14:textId="77777777" w:rsidR="00CC4C39" w:rsidRPr="00DB6D42" w:rsidRDefault="00CC4C39" w:rsidP="00BB5FF5">
            <w:pPr>
              <w:keepNext/>
              <w:adjustRightInd w:val="0"/>
              <w:spacing w:after="0"/>
              <w:rPr>
                <w:rFonts w:cs="Arial"/>
                <w:color w:val="000000"/>
                <w:sz w:val="18"/>
                <w:szCs w:val="18"/>
                <w:lang w:val="en-US"/>
              </w:rPr>
            </w:pPr>
            <w:r w:rsidRPr="00DB6D42">
              <w:rPr>
                <w:rFonts w:cs="Arial"/>
                <w:color w:val="000000"/>
                <w:sz w:val="18"/>
                <w:szCs w:val="18"/>
                <w:lang w:val="en-US"/>
              </w:rPr>
              <w:t>D36</w:t>
            </w:r>
          </w:p>
        </w:tc>
        <w:tc>
          <w:tcPr>
            <w:tcW w:w="1703" w:type="dxa"/>
            <w:shd w:val="clear" w:color="auto" w:fill="FFFFFF"/>
          </w:tcPr>
          <w:p w14:paraId="3A762C60" w14:textId="7A050150"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77(0</w:t>
            </w:r>
            <w:r w:rsidR="00D041F0" w:rsidRPr="00DB6D42">
              <w:rPr>
                <w:rFonts w:cs="Arial"/>
                <w:color w:val="000000"/>
                <w:sz w:val="18"/>
                <w:szCs w:val="18"/>
                <w:lang w:val="en-US"/>
              </w:rPr>
              <w:t>·</w:t>
            </w:r>
            <w:r w:rsidRPr="00DB6D42">
              <w:rPr>
                <w:rFonts w:cs="Arial"/>
                <w:color w:val="000000"/>
                <w:sz w:val="18"/>
                <w:szCs w:val="18"/>
                <w:lang w:val="en-US"/>
              </w:rPr>
              <w:t>56;1</w:t>
            </w:r>
            <w:r w:rsidR="00D041F0" w:rsidRPr="00DB6D42">
              <w:rPr>
                <w:rFonts w:cs="Arial"/>
                <w:color w:val="000000"/>
                <w:sz w:val="18"/>
                <w:szCs w:val="18"/>
                <w:lang w:val="en-US"/>
              </w:rPr>
              <w:t>·</w:t>
            </w:r>
            <w:r w:rsidRPr="00DB6D42">
              <w:rPr>
                <w:rFonts w:cs="Arial"/>
                <w:color w:val="000000"/>
                <w:sz w:val="18"/>
                <w:szCs w:val="18"/>
                <w:lang w:val="en-US"/>
              </w:rPr>
              <w:t>06)</w:t>
            </w:r>
          </w:p>
        </w:tc>
        <w:tc>
          <w:tcPr>
            <w:tcW w:w="1703" w:type="dxa"/>
            <w:shd w:val="clear" w:color="auto" w:fill="FFFFFF"/>
          </w:tcPr>
          <w:p w14:paraId="62912947" w14:textId="63E79A84"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06(0</w:t>
            </w:r>
            <w:r w:rsidR="00D041F0" w:rsidRPr="00DB6D42">
              <w:rPr>
                <w:rFonts w:cs="Arial"/>
                <w:color w:val="000000"/>
                <w:sz w:val="18"/>
                <w:szCs w:val="18"/>
                <w:lang w:val="en-US"/>
              </w:rPr>
              <w:t>·</w:t>
            </w:r>
            <w:r w:rsidRPr="00DB6D42">
              <w:rPr>
                <w:rFonts w:cs="Arial"/>
                <w:color w:val="000000"/>
                <w:sz w:val="18"/>
                <w:szCs w:val="18"/>
                <w:lang w:val="en-US"/>
              </w:rPr>
              <w:t>05;0</w:t>
            </w:r>
            <w:r w:rsidR="00D041F0" w:rsidRPr="00DB6D42">
              <w:rPr>
                <w:rFonts w:cs="Arial"/>
                <w:color w:val="000000"/>
                <w:sz w:val="18"/>
                <w:szCs w:val="18"/>
                <w:lang w:val="en-US"/>
              </w:rPr>
              <w:t>·</w:t>
            </w:r>
            <w:r w:rsidRPr="00DB6D42">
              <w:rPr>
                <w:rFonts w:cs="Arial"/>
                <w:color w:val="000000"/>
                <w:sz w:val="18"/>
                <w:szCs w:val="18"/>
                <w:lang w:val="en-US"/>
              </w:rPr>
              <w:t>09)</w:t>
            </w:r>
          </w:p>
        </w:tc>
        <w:tc>
          <w:tcPr>
            <w:tcW w:w="1703" w:type="dxa"/>
            <w:shd w:val="clear" w:color="auto" w:fill="FFFFFF"/>
          </w:tcPr>
          <w:p w14:paraId="75E970CA" w14:textId="482A5C8F"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05;0</w:t>
            </w:r>
            <w:r w:rsidR="00D041F0" w:rsidRPr="00DB6D42">
              <w:rPr>
                <w:rFonts w:cs="Arial"/>
                <w:color w:val="000000"/>
                <w:sz w:val="18"/>
                <w:szCs w:val="18"/>
                <w:lang w:val="en-US"/>
              </w:rPr>
              <w:t>·</w:t>
            </w:r>
            <w:r w:rsidRPr="00DB6D42">
              <w:rPr>
                <w:rFonts w:cs="Arial"/>
                <w:color w:val="000000"/>
                <w:sz w:val="18"/>
                <w:szCs w:val="18"/>
                <w:lang w:val="en-US"/>
              </w:rPr>
              <w:t>09)</w:t>
            </w:r>
          </w:p>
        </w:tc>
        <w:tc>
          <w:tcPr>
            <w:tcW w:w="1703" w:type="dxa"/>
            <w:shd w:val="clear" w:color="auto" w:fill="FFFFFF"/>
          </w:tcPr>
          <w:p w14:paraId="1798FA15" w14:textId="1C141AD5"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05;</w:t>
            </w:r>
            <w:r w:rsidR="00D041F0" w:rsidRPr="00DB6D42">
              <w:rPr>
                <w:rFonts w:cs="Arial"/>
                <w:color w:val="000000"/>
                <w:sz w:val="18"/>
                <w:szCs w:val="18"/>
                <w:lang w:val="en-US"/>
              </w:rPr>
              <w:t>·</w:t>
            </w:r>
            <w:r w:rsidRPr="00DB6D42">
              <w:rPr>
                <w:rFonts w:cs="Arial"/>
                <w:color w:val="000000"/>
                <w:sz w:val="18"/>
                <w:szCs w:val="18"/>
                <w:lang w:val="en-US"/>
              </w:rPr>
              <w:t>009)</w:t>
            </w:r>
          </w:p>
        </w:tc>
        <w:tc>
          <w:tcPr>
            <w:tcW w:w="1703" w:type="dxa"/>
            <w:shd w:val="clear" w:color="auto" w:fill="FFFFFF"/>
          </w:tcPr>
          <w:p w14:paraId="62BEC57A" w14:textId="0BDC3697"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05;0</w:t>
            </w:r>
            <w:r w:rsidR="00D041F0" w:rsidRPr="00DB6D42">
              <w:rPr>
                <w:rFonts w:cs="Arial"/>
                <w:color w:val="000000"/>
                <w:sz w:val="18"/>
                <w:szCs w:val="18"/>
                <w:lang w:val="en-US"/>
              </w:rPr>
              <w:t>·</w:t>
            </w:r>
            <w:r w:rsidRPr="00DB6D42">
              <w:rPr>
                <w:rFonts w:cs="Arial"/>
                <w:color w:val="000000"/>
                <w:sz w:val="18"/>
                <w:szCs w:val="18"/>
                <w:lang w:val="en-US"/>
              </w:rPr>
              <w:t>09)</w:t>
            </w:r>
          </w:p>
        </w:tc>
      </w:tr>
      <w:tr w:rsidR="00CC4C39" w:rsidRPr="00DB6D42" w14:paraId="29722CB5" w14:textId="77777777" w:rsidTr="00DB6D42">
        <w:trPr>
          <w:cantSplit/>
          <w:jc w:val="center"/>
        </w:trPr>
        <w:tc>
          <w:tcPr>
            <w:tcW w:w="5445" w:type="dxa"/>
            <w:shd w:val="clear" w:color="auto" w:fill="FFFFFF"/>
          </w:tcPr>
          <w:p w14:paraId="72D26D95" w14:textId="77777777" w:rsidR="00CC4C39" w:rsidRPr="00DB6D42" w:rsidRDefault="00CC4C39" w:rsidP="00BB5FF5">
            <w:pPr>
              <w:keepNext/>
              <w:adjustRightInd w:val="0"/>
              <w:spacing w:after="0"/>
              <w:rPr>
                <w:rFonts w:cs="Arial"/>
                <w:color w:val="000000"/>
                <w:sz w:val="18"/>
                <w:szCs w:val="18"/>
                <w:lang w:val="en-US"/>
              </w:rPr>
            </w:pPr>
            <w:r w:rsidRPr="00DB6D42">
              <w:rPr>
                <w:rFonts w:cs="Arial"/>
                <w:color w:val="000000"/>
                <w:sz w:val="18"/>
                <w:szCs w:val="18"/>
                <w:lang w:val="en-US"/>
              </w:rPr>
              <w:t>EOT (D65)</w:t>
            </w:r>
          </w:p>
        </w:tc>
        <w:tc>
          <w:tcPr>
            <w:tcW w:w="1703" w:type="dxa"/>
            <w:shd w:val="clear" w:color="auto" w:fill="FFFFFF"/>
          </w:tcPr>
          <w:p w14:paraId="0DC2F281" w14:textId="6CB3D74E"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70(0</w:t>
            </w:r>
            <w:r w:rsidR="00D041F0" w:rsidRPr="00DB6D42">
              <w:rPr>
                <w:rFonts w:cs="Arial"/>
                <w:color w:val="000000"/>
                <w:sz w:val="18"/>
                <w:szCs w:val="18"/>
                <w:lang w:val="en-US"/>
              </w:rPr>
              <w:t>·</w:t>
            </w:r>
            <w:r w:rsidRPr="00DB6D42">
              <w:rPr>
                <w:rFonts w:cs="Arial"/>
                <w:color w:val="000000"/>
                <w:sz w:val="18"/>
                <w:szCs w:val="18"/>
                <w:lang w:val="en-US"/>
              </w:rPr>
              <w:t>49;0</w:t>
            </w:r>
            <w:r w:rsidR="00D041F0" w:rsidRPr="00DB6D42">
              <w:rPr>
                <w:rFonts w:cs="Arial"/>
                <w:color w:val="000000"/>
                <w:sz w:val="18"/>
                <w:szCs w:val="18"/>
                <w:lang w:val="en-US"/>
              </w:rPr>
              <w:t>·</w:t>
            </w:r>
            <w:r w:rsidRPr="00DB6D42">
              <w:rPr>
                <w:rFonts w:cs="Arial"/>
                <w:color w:val="000000"/>
                <w:sz w:val="18"/>
                <w:szCs w:val="18"/>
                <w:lang w:val="en-US"/>
              </w:rPr>
              <w:t>96)</w:t>
            </w:r>
          </w:p>
        </w:tc>
        <w:tc>
          <w:tcPr>
            <w:tcW w:w="1703" w:type="dxa"/>
            <w:shd w:val="clear" w:color="auto" w:fill="FFFFFF"/>
          </w:tcPr>
          <w:p w14:paraId="0ADDFEA1" w14:textId="1BDAE891"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06(0</w:t>
            </w:r>
            <w:r w:rsidR="00D041F0" w:rsidRPr="00DB6D42">
              <w:rPr>
                <w:rFonts w:cs="Arial"/>
                <w:color w:val="000000"/>
                <w:sz w:val="18"/>
                <w:szCs w:val="18"/>
                <w:lang w:val="en-US"/>
              </w:rPr>
              <w:t>·</w:t>
            </w:r>
            <w:r w:rsidRPr="00DB6D42">
              <w:rPr>
                <w:rFonts w:cs="Arial"/>
                <w:color w:val="000000"/>
                <w:sz w:val="18"/>
                <w:szCs w:val="18"/>
                <w:lang w:val="en-US"/>
              </w:rPr>
              <w:t>05;0</w:t>
            </w:r>
            <w:r w:rsidR="00D041F0" w:rsidRPr="00DB6D42">
              <w:rPr>
                <w:rFonts w:cs="Arial"/>
                <w:color w:val="000000"/>
                <w:sz w:val="18"/>
                <w:szCs w:val="18"/>
                <w:lang w:val="en-US"/>
              </w:rPr>
              <w:t>·</w:t>
            </w:r>
            <w:r w:rsidRPr="00DB6D42">
              <w:rPr>
                <w:rFonts w:cs="Arial"/>
                <w:color w:val="000000"/>
                <w:sz w:val="18"/>
                <w:szCs w:val="18"/>
                <w:lang w:val="en-US"/>
              </w:rPr>
              <w:t>09)</w:t>
            </w:r>
          </w:p>
        </w:tc>
        <w:tc>
          <w:tcPr>
            <w:tcW w:w="1703" w:type="dxa"/>
            <w:shd w:val="clear" w:color="auto" w:fill="FFFFFF"/>
          </w:tcPr>
          <w:p w14:paraId="017E3012" w14:textId="08213BD3"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05;0</w:t>
            </w:r>
            <w:r w:rsidR="00D041F0" w:rsidRPr="00DB6D42">
              <w:rPr>
                <w:rFonts w:cs="Arial"/>
                <w:color w:val="000000"/>
                <w:sz w:val="18"/>
                <w:szCs w:val="18"/>
                <w:lang w:val="en-US"/>
              </w:rPr>
              <w:t>·</w:t>
            </w:r>
            <w:r w:rsidRPr="00DB6D42">
              <w:rPr>
                <w:rFonts w:cs="Arial"/>
                <w:color w:val="000000"/>
                <w:sz w:val="18"/>
                <w:szCs w:val="18"/>
                <w:lang w:val="en-US"/>
              </w:rPr>
              <w:t>09)</w:t>
            </w:r>
          </w:p>
        </w:tc>
        <w:tc>
          <w:tcPr>
            <w:tcW w:w="1703" w:type="dxa"/>
            <w:shd w:val="clear" w:color="auto" w:fill="FFFFFF"/>
          </w:tcPr>
          <w:p w14:paraId="6106E440" w14:textId="5C1C7461"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05;0</w:t>
            </w:r>
            <w:r w:rsidR="00D041F0" w:rsidRPr="00DB6D42">
              <w:rPr>
                <w:rFonts w:cs="Arial"/>
                <w:color w:val="000000"/>
                <w:sz w:val="18"/>
                <w:szCs w:val="18"/>
                <w:lang w:val="en-US"/>
              </w:rPr>
              <w:t>·</w:t>
            </w:r>
            <w:r w:rsidRPr="00DB6D42">
              <w:rPr>
                <w:rFonts w:cs="Arial"/>
                <w:color w:val="000000"/>
                <w:sz w:val="18"/>
                <w:szCs w:val="18"/>
                <w:lang w:val="en-US"/>
              </w:rPr>
              <w:t>09)</w:t>
            </w:r>
          </w:p>
        </w:tc>
        <w:tc>
          <w:tcPr>
            <w:tcW w:w="1703" w:type="dxa"/>
            <w:shd w:val="clear" w:color="auto" w:fill="FFFFFF"/>
          </w:tcPr>
          <w:p w14:paraId="606F508D" w14:textId="7465E1D6"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05;0</w:t>
            </w:r>
            <w:r w:rsidR="00D041F0" w:rsidRPr="00DB6D42">
              <w:rPr>
                <w:rFonts w:cs="Arial"/>
                <w:color w:val="000000"/>
                <w:sz w:val="18"/>
                <w:szCs w:val="18"/>
                <w:lang w:val="en-US"/>
              </w:rPr>
              <w:t>·</w:t>
            </w:r>
            <w:r w:rsidRPr="00DB6D42">
              <w:rPr>
                <w:rFonts w:cs="Arial"/>
                <w:color w:val="000000"/>
                <w:sz w:val="18"/>
                <w:szCs w:val="18"/>
                <w:lang w:val="en-US"/>
              </w:rPr>
              <w:t>09)</w:t>
            </w:r>
          </w:p>
        </w:tc>
      </w:tr>
      <w:tr w:rsidR="00CC4C39" w:rsidRPr="00DB6D42" w14:paraId="30335031" w14:textId="77777777" w:rsidTr="00DB6D42">
        <w:trPr>
          <w:cantSplit/>
          <w:jc w:val="center"/>
        </w:trPr>
        <w:tc>
          <w:tcPr>
            <w:tcW w:w="5445" w:type="dxa"/>
            <w:shd w:val="clear" w:color="auto" w:fill="FFFFFF"/>
          </w:tcPr>
          <w:p w14:paraId="1C29DC6B" w14:textId="77777777" w:rsidR="00CC4C39" w:rsidRPr="00DB6D42" w:rsidRDefault="00CC4C39" w:rsidP="00BB5FF5">
            <w:pPr>
              <w:keepNext/>
              <w:adjustRightInd w:val="0"/>
              <w:spacing w:after="0"/>
              <w:rPr>
                <w:rFonts w:cs="Arial"/>
                <w:color w:val="000000"/>
                <w:sz w:val="18"/>
                <w:szCs w:val="18"/>
                <w:lang w:val="en-US"/>
              </w:rPr>
            </w:pPr>
            <w:r w:rsidRPr="00DB6D42">
              <w:rPr>
                <w:rFonts w:cs="Arial"/>
                <w:color w:val="000000"/>
                <w:sz w:val="18"/>
                <w:szCs w:val="18"/>
                <w:lang w:val="en-US"/>
              </w:rPr>
              <w:t>4 months</w:t>
            </w:r>
          </w:p>
        </w:tc>
        <w:tc>
          <w:tcPr>
            <w:tcW w:w="1703" w:type="dxa"/>
            <w:shd w:val="clear" w:color="auto" w:fill="FFFFFF"/>
          </w:tcPr>
          <w:p w14:paraId="0CF9C559" w14:textId="4BBFC912"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67(0</w:t>
            </w:r>
            <w:r w:rsidR="00D041F0" w:rsidRPr="00DB6D42">
              <w:rPr>
                <w:rFonts w:cs="Arial"/>
                <w:color w:val="000000"/>
                <w:sz w:val="18"/>
                <w:szCs w:val="18"/>
                <w:lang w:val="en-US"/>
              </w:rPr>
              <w:t>·</w:t>
            </w:r>
            <w:r w:rsidRPr="00DB6D42">
              <w:rPr>
                <w:rFonts w:cs="Arial"/>
                <w:color w:val="000000"/>
                <w:sz w:val="18"/>
                <w:szCs w:val="18"/>
                <w:lang w:val="en-US"/>
              </w:rPr>
              <w:t>40;1</w:t>
            </w:r>
            <w:r w:rsidR="00D041F0" w:rsidRPr="00DB6D42">
              <w:rPr>
                <w:rFonts w:cs="Arial"/>
                <w:color w:val="000000"/>
                <w:sz w:val="18"/>
                <w:szCs w:val="18"/>
                <w:lang w:val="en-US"/>
              </w:rPr>
              <w:t>·</w:t>
            </w:r>
            <w:r w:rsidRPr="00DB6D42">
              <w:rPr>
                <w:rFonts w:cs="Arial"/>
                <w:color w:val="000000"/>
                <w:sz w:val="18"/>
                <w:szCs w:val="18"/>
                <w:lang w:val="en-US"/>
              </w:rPr>
              <w:t>12)</w:t>
            </w:r>
          </w:p>
        </w:tc>
        <w:tc>
          <w:tcPr>
            <w:tcW w:w="1703" w:type="dxa"/>
            <w:shd w:val="clear" w:color="auto" w:fill="FFFFFF"/>
          </w:tcPr>
          <w:p w14:paraId="65149DF4" w14:textId="3149C103"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12(0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20)</w:t>
            </w:r>
          </w:p>
        </w:tc>
        <w:tc>
          <w:tcPr>
            <w:tcW w:w="1703" w:type="dxa"/>
            <w:shd w:val="clear" w:color="auto" w:fill="FFFFFF"/>
          </w:tcPr>
          <w:p w14:paraId="62FC8370" w14:textId="55E2FB9D"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45(0</w:t>
            </w:r>
            <w:r w:rsidR="00D041F0" w:rsidRPr="00DB6D42">
              <w:rPr>
                <w:rFonts w:cs="Arial"/>
                <w:color w:val="000000"/>
                <w:sz w:val="18"/>
                <w:szCs w:val="18"/>
                <w:lang w:val="en-US"/>
              </w:rPr>
              <w:t>·</w:t>
            </w:r>
            <w:r w:rsidRPr="00DB6D42">
              <w:rPr>
                <w:rFonts w:cs="Arial"/>
                <w:color w:val="000000"/>
                <w:sz w:val="18"/>
                <w:szCs w:val="18"/>
                <w:lang w:val="en-US"/>
              </w:rPr>
              <w:t>27;0</w:t>
            </w:r>
            <w:r w:rsidR="00D041F0" w:rsidRPr="00DB6D42">
              <w:rPr>
                <w:rFonts w:cs="Arial"/>
                <w:color w:val="000000"/>
                <w:sz w:val="18"/>
                <w:szCs w:val="18"/>
                <w:lang w:val="en-US"/>
              </w:rPr>
              <w:t>·</w:t>
            </w:r>
            <w:r w:rsidRPr="00DB6D42">
              <w:rPr>
                <w:rFonts w:cs="Arial"/>
                <w:color w:val="000000"/>
                <w:sz w:val="18"/>
                <w:szCs w:val="18"/>
                <w:lang w:val="en-US"/>
              </w:rPr>
              <w:t>76)</w:t>
            </w:r>
          </w:p>
        </w:tc>
        <w:tc>
          <w:tcPr>
            <w:tcW w:w="1703" w:type="dxa"/>
            <w:shd w:val="clear" w:color="auto" w:fill="FFFFFF"/>
          </w:tcPr>
          <w:p w14:paraId="0C4B4BD0" w14:textId="06A3FE98"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11(0</w:t>
            </w:r>
            <w:r w:rsidR="00D041F0" w:rsidRPr="00DB6D42">
              <w:rPr>
                <w:rFonts w:cs="Arial"/>
                <w:color w:val="000000"/>
                <w:sz w:val="18"/>
                <w:szCs w:val="18"/>
                <w:lang w:val="en-US"/>
              </w:rPr>
              <w:t>·</w:t>
            </w:r>
            <w:r w:rsidRPr="00DB6D42">
              <w:rPr>
                <w:rFonts w:cs="Arial"/>
                <w:color w:val="000000"/>
                <w:sz w:val="18"/>
                <w:szCs w:val="18"/>
                <w:lang w:val="en-US"/>
              </w:rPr>
              <w:t>06;0</w:t>
            </w:r>
            <w:r w:rsidR="00D041F0" w:rsidRPr="00DB6D42">
              <w:rPr>
                <w:rFonts w:cs="Arial"/>
                <w:color w:val="000000"/>
                <w:sz w:val="18"/>
                <w:szCs w:val="18"/>
                <w:lang w:val="en-US"/>
              </w:rPr>
              <w:t>·</w:t>
            </w:r>
            <w:r w:rsidRPr="00DB6D42">
              <w:rPr>
                <w:rFonts w:cs="Arial"/>
                <w:color w:val="000000"/>
                <w:sz w:val="18"/>
                <w:szCs w:val="18"/>
                <w:lang w:val="en-US"/>
              </w:rPr>
              <w:t>18)</w:t>
            </w:r>
          </w:p>
        </w:tc>
        <w:tc>
          <w:tcPr>
            <w:tcW w:w="1703" w:type="dxa"/>
            <w:shd w:val="clear" w:color="auto" w:fill="FFFFFF"/>
          </w:tcPr>
          <w:p w14:paraId="3FA82229" w14:textId="2C09233D"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04;0</w:t>
            </w:r>
            <w:r w:rsidR="00D041F0" w:rsidRPr="00DB6D42">
              <w:rPr>
                <w:rFonts w:cs="Arial"/>
                <w:color w:val="000000"/>
                <w:sz w:val="18"/>
                <w:szCs w:val="18"/>
                <w:lang w:val="en-US"/>
              </w:rPr>
              <w:t>·</w:t>
            </w:r>
            <w:r w:rsidRPr="00DB6D42">
              <w:rPr>
                <w:rFonts w:cs="Arial"/>
                <w:color w:val="000000"/>
                <w:sz w:val="18"/>
                <w:szCs w:val="18"/>
                <w:lang w:val="en-US"/>
              </w:rPr>
              <w:t>11)</w:t>
            </w:r>
          </w:p>
        </w:tc>
      </w:tr>
      <w:tr w:rsidR="00CC4C39" w:rsidRPr="00DB6D42" w14:paraId="338D7799" w14:textId="77777777" w:rsidTr="00DB6D42">
        <w:trPr>
          <w:cantSplit/>
          <w:jc w:val="center"/>
        </w:trPr>
        <w:tc>
          <w:tcPr>
            <w:tcW w:w="5445" w:type="dxa"/>
            <w:shd w:val="clear" w:color="auto" w:fill="FFFFFF"/>
          </w:tcPr>
          <w:p w14:paraId="3B9844B6" w14:textId="77777777" w:rsidR="00CC4C39" w:rsidRPr="00DB6D42" w:rsidRDefault="00CC4C39" w:rsidP="00BB5FF5">
            <w:pPr>
              <w:keepNext/>
              <w:adjustRightInd w:val="0"/>
              <w:spacing w:after="0"/>
              <w:rPr>
                <w:rFonts w:cs="Arial"/>
                <w:color w:val="000000"/>
                <w:sz w:val="18"/>
                <w:szCs w:val="18"/>
                <w:lang w:val="en-US"/>
              </w:rPr>
            </w:pPr>
            <w:r w:rsidRPr="00DB6D42">
              <w:rPr>
                <w:rFonts w:cs="Arial"/>
                <w:color w:val="000000"/>
                <w:sz w:val="18"/>
                <w:szCs w:val="18"/>
                <w:lang w:val="en-US"/>
              </w:rPr>
              <w:t>6 months</w:t>
            </w:r>
          </w:p>
        </w:tc>
        <w:tc>
          <w:tcPr>
            <w:tcW w:w="1703" w:type="dxa"/>
            <w:shd w:val="clear" w:color="auto" w:fill="FFFFFF"/>
          </w:tcPr>
          <w:p w14:paraId="5B90DCF2" w14:textId="0DEFB806"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1</w:t>
            </w:r>
            <w:r w:rsidR="00D041F0" w:rsidRPr="00DB6D42">
              <w:rPr>
                <w:rFonts w:cs="Arial"/>
                <w:color w:val="000000"/>
                <w:sz w:val="18"/>
                <w:szCs w:val="18"/>
                <w:lang w:val="en-US"/>
              </w:rPr>
              <w:t>·</w:t>
            </w:r>
            <w:r w:rsidRPr="00DB6D42">
              <w:rPr>
                <w:rFonts w:cs="Arial"/>
                <w:color w:val="000000"/>
                <w:sz w:val="18"/>
                <w:szCs w:val="18"/>
                <w:lang w:val="en-US"/>
              </w:rPr>
              <w:t>08(0</w:t>
            </w:r>
            <w:r w:rsidR="00D041F0" w:rsidRPr="00DB6D42">
              <w:rPr>
                <w:rFonts w:cs="Arial"/>
                <w:color w:val="000000"/>
                <w:sz w:val="18"/>
                <w:szCs w:val="18"/>
                <w:lang w:val="en-US"/>
              </w:rPr>
              <w:t>·</w:t>
            </w:r>
            <w:r w:rsidRPr="00DB6D42">
              <w:rPr>
                <w:rFonts w:cs="Arial"/>
                <w:color w:val="000000"/>
                <w:sz w:val="18"/>
                <w:szCs w:val="18"/>
                <w:lang w:val="en-US"/>
              </w:rPr>
              <w:t>61;1</w:t>
            </w:r>
            <w:r w:rsidR="00D041F0" w:rsidRPr="00DB6D42">
              <w:rPr>
                <w:rFonts w:cs="Arial"/>
                <w:color w:val="000000"/>
                <w:sz w:val="18"/>
                <w:szCs w:val="18"/>
                <w:lang w:val="en-US"/>
              </w:rPr>
              <w:t>·</w:t>
            </w:r>
            <w:r w:rsidRPr="00DB6D42">
              <w:rPr>
                <w:rFonts w:cs="Arial"/>
                <w:color w:val="000000"/>
                <w:sz w:val="18"/>
                <w:szCs w:val="18"/>
                <w:lang w:val="en-US"/>
              </w:rPr>
              <w:t>92)</w:t>
            </w:r>
          </w:p>
        </w:tc>
        <w:tc>
          <w:tcPr>
            <w:tcW w:w="1703" w:type="dxa"/>
            <w:shd w:val="clear" w:color="auto" w:fill="FFFFFF"/>
          </w:tcPr>
          <w:p w14:paraId="5F792028" w14:textId="770BB262"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31(0</w:t>
            </w:r>
            <w:r w:rsidR="00D041F0" w:rsidRPr="00DB6D42">
              <w:rPr>
                <w:rFonts w:cs="Arial"/>
                <w:color w:val="000000"/>
                <w:sz w:val="18"/>
                <w:szCs w:val="18"/>
                <w:lang w:val="en-US"/>
              </w:rPr>
              <w:t>·</w:t>
            </w:r>
            <w:r w:rsidRPr="00DB6D42">
              <w:rPr>
                <w:rFonts w:cs="Arial"/>
                <w:color w:val="000000"/>
                <w:sz w:val="18"/>
                <w:szCs w:val="18"/>
                <w:lang w:val="en-US"/>
              </w:rPr>
              <w:t>18;0</w:t>
            </w:r>
            <w:r w:rsidR="00D041F0" w:rsidRPr="00DB6D42">
              <w:rPr>
                <w:rFonts w:cs="Arial"/>
                <w:color w:val="000000"/>
                <w:sz w:val="18"/>
                <w:szCs w:val="18"/>
                <w:lang w:val="en-US"/>
              </w:rPr>
              <w:t>·</w:t>
            </w:r>
            <w:r w:rsidRPr="00DB6D42">
              <w:rPr>
                <w:rFonts w:cs="Arial"/>
                <w:color w:val="000000"/>
                <w:sz w:val="18"/>
                <w:szCs w:val="18"/>
                <w:lang w:val="en-US"/>
              </w:rPr>
              <w:t>55)</w:t>
            </w:r>
          </w:p>
        </w:tc>
        <w:tc>
          <w:tcPr>
            <w:tcW w:w="1703" w:type="dxa"/>
            <w:shd w:val="clear" w:color="auto" w:fill="FFFFFF"/>
          </w:tcPr>
          <w:p w14:paraId="44D37C1E" w14:textId="4927137B"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25(0</w:t>
            </w:r>
            <w:r w:rsidR="00D041F0" w:rsidRPr="00DB6D42">
              <w:rPr>
                <w:rFonts w:cs="Arial"/>
                <w:color w:val="000000"/>
                <w:sz w:val="18"/>
                <w:szCs w:val="18"/>
                <w:lang w:val="en-US"/>
              </w:rPr>
              <w:t>·</w:t>
            </w:r>
            <w:r w:rsidRPr="00DB6D42">
              <w:rPr>
                <w:rFonts w:cs="Arial"/>
                <w:color w:val="000000"/>
                <w:sz w:val="18"/>
                <w:szCs w:val="18"/>
                <w:lang w:val="en-US"/>
              </w:rPr>
              <w:t>14;0</w:t>
            </w:r>
            <w:r w:rsidR="00D041F0" w:rsidRPr="00DB6D42">
              <w:rPr>
                <w:rFonts w:cs="Arial"/>
                <w:color w:val="000000"/>
                <w:sz w:val="18"/>
                <w:szCs w:val="18"/>
                <w:lang w:val="en-US"/>
              </w:rPr>
              <w:t>·</w:t>
            </w:r>
            <w:r w:rsidRPr="00DB6D42">
              <w:rPr>
                <w:rFonts w:cs="Arial"/>
                <w:color w:val="000000"/>
                <w:sz w:val="18"/>
                <w:szCs w:val="18"/>
                <w:lang w:val="en-US"/>
              </w:rPr>
              <w:t>46)</w:t>
            </w:r>
          </w:p>
        </w:tc>
        <w:tc>
          <w:tcPr>
            <w:tcW w:w="1703" w:type="dxa"/>
            <w:shd w:val="clear" w:color="auto" w:fill="FFFFFF"/>
          </w:tcPr>
          <w:p w14:paraId="004D5FB9" w14:textId="61ED97FD"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19(0</w:t>
            </w:r>
            <w:r w:rsidR="00D041F0" w:rsidRPr="00DB6D42">
              <w:rPr>
                <w:rFonts w:cs="Arial"/>
                <w:color w:val="000000"/>
                <w:sz w:val="18"/>
                <w:szCs w:val="18"/>
                <w:lang w:val="en-US"/>
              </w:rPr>
              <w:t>·</w:t>
            </w:r>
            <w:r w:rsidRPr="00DB6D42">
              <w:rPr>
                <w:rFonts w:cs="Arial"/>
                <w:color w:val="000000"/>
                <w:sz w:val="18"/>
                <w:szCs w:val="18"/>
                <w:lang w:val="en-US"/>
              </w:rPr>
              <w:t>11;0</w:t>
            </w:r>
            <w:r w:rsidR="00D041F0" w:rsidRPr="00DB6D42">
              <w:rPr>
                <w:rFonts w:cs="Arial"/>
                <w:color w:val="000000"/>
                <w:sz w:val="18"/>
                <w:szCs w:val="18"/>
                <w:lang w:val="en-US"/>
              </w:rPr>
              <w:t>·</w:t>
            </w:r>
            <w:r w:rsidRPr="00DB6D42">
              <w:rPr>
                <w:rFonts w:cs="Arial"/>
                <w:color w:val="000000"/>
                <w:sz w:val="18"/>
                <w:szCs w:val="18"/>
                <w:lang w:val="en-US"/>
              </w:rPr>
              <w:t>36)</w:t>
            </w:r>
          </w:p>
        </w:tc>
        <w:tc>
          <w:tcPr>
            <w:tcW w:w="1703" w:type="dxa"/>
            <w:shd w:val="clear" w:color="auto" w:fill="FFFFFF"/>
          </w:tcPr>
          <w:p w14:paraId="335DE0FF" w14:textId="53CFFC13"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04;0</w:t>
            </w:r>
            <w:r w:rsidR="00D041F0" w:rsidRPr="00DB6D42">
              <w:rPr>
                <w:rFonts w:cs="Arial"/>
                <w:color w:val="000000"/>
                <w:sz w:val="18"/>
                <w:szCs w:val="18"/>
                <w:lang w:val="en-US"/>
              </w:rPr>
              <w:t>·</w:t>
            </w:r>
            <w:r w:rsidRPr="00DB6D42">
              <w:rPr>
                <w:rFonts w:cs="Arial"/>
                <w:color w:val="000000"/>
                <w:sz w:val="18"/>
                <w:szCs w:val="18"/>
                <w:lang w:val="en-US"/>
              </w:rPr>
              <w:t>12)</w:t>
            </w:r>
          </w:p>
        </w:tc>
      </w:tr>
      <w:tr w:rsidR="00CC4C39" w:rsidRPr="00DB6D42" w14:paraId="2EEDA6F8" w14:textId="77777777" w:rsidTr="00DB6D42">
        <w:trPr>
          <w:cantSplit/>
          <w:jc w:val="center"/>
        </w:trPr>
        <w:tc>
          <w:tcPr>
            <w:tcW w:w="5445" w:type="dxa"/>
            <w:shd w:val="clear" w:color="auto" w:fill="FFFFFF"/>
          </w:tcPr>
          <w:p w14:paraId="5531EC17" w14:textId="77777777" w:rsidR="00CC4C39" w:rsidRPr="00DB6D42" w:rsidRDefault="00CC4C39" w:rsidP="00BB5FF5">
            <w:pPr>
              <w:keepNext/>
              <w:adjustRightInd w:val="0"/>
              <w:spacing w:after="0"/>
              <w:rPr>
                <w:rFonts w:cs="Arial"/>
                <w:color w:val="000000"/>
                <w:sz w:val="18"/>
                <w:szCs w:val="18"/>
                <w:lang w:val="en-US"/>
              </w:rPr>
            </w:pPr>
            <w:r w:rsidRPr="00DB6D42">
              <w:rPr>
                <w:rFonts w:cs="Arial"/>
                <w:color w:val="000000"/>
                <w:sz w:val="18"/>
                <w:szCs w:val="18"/>
                <w:lang w:val="en-US"/>
              </w:rPr>
              <w:t>12 months</w:t>
            </w:r>
          </w:p>
        </w:tc>
        <w:tc>
          <w:tcPr>
            <w:tcW w:w="1703" w:type="dxa"/>
            <w:shd w:val="clear" w:color="auto" w:fill="FFFFFF"/>
          </w:tcPr>
          <w:p w14:paraId="773B2171" w14:textId="7674EE84"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91(0</w:t>
            </w:r>
            <w:r w:rsidR="00D041F0" w:rsidRPr="00DB6D42">
              <w:rPr>
                <w:rFonts w:cs="Arial"/>
                <w:color w:val="000000"/>
                <w:sz w:val="18"/>
                <w:szCs w:val="18"/>
                <w:lang w:val="en-US"/>
              </w:rPr>
              <w:t>·</w:t>
            </w:r>
            <w:r w:rsidRPr="00DB6D42">
              <w:rPr>
                <w:rFonts w:cs="Arial"/>
                <w:color w:val="000000"/>
                <w:sz w:val="18"/>
                <w:szCs w:val="18"/>
                <w:lang w:val="en-US"/>
              </w:rPr>
              <w:t>50;1</w:t>
            </w:r>
            <w:r w:rsidR="00D041F0" w:rsidRPr="00DB6D42">
              <w:rPr>
                <w:rFonts w:cs="Arial"/>
                <w:color w:val="000000"/>
                <w:sz w:val="18"/>
                <w:szCs w:val="18"/>
                <w:lang w:val="en-US"/>
              </w:rPr>
              <w:t>·</w:t>
            </w:r>
            <w:r w:rsidRPr="00DB6D42">
              <w:rPr>
                <w:rFonts w:cs="Arial"/>
                <w:color w:val="000000"/>
                <w:sz w:val="18"/>
                <w:szCs w:val="18"/>
                <w:lang w:val="en-US"/>
              </w:rPr>
              <w:t>66)</w:t>
            </w:r>
          </w:p>
        </w:tc>
        <w:tc>
          <w:tcPr>
            <w:tcW w:w="1703" w:type="dxa"/>
            <w:shd w:val="clear" w:color="auto" w:fill="FFFFFF"/>
          </w:tcPr>
          <w:p w14:paraId="327EEC41" w14:textId="07D78764"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69(0</w:t>
            </w:r>
            <w:r w:rsidR="00D041F0" w:rsidRPr="00DB6D42">
              <w:rPr>
                <w:rFonts w:cs="Arial"/>
                <w:color w:val="000000"/>
                <w:sz w:val="18"/>
                <w:szCs w:val="18"/>
                <w:lang w:val="en-US"/>
              </w:rPr>
              <w:t>·</w:t>
            </w:r>
            <w:r w:rsidRPr="00DB6D42">
              <w:rPr>
                <w:rFonts w:cs="Arial"/>
                <w:color w:val="000000"/>
                <w:sz w:val="18"/>
                <w:szCs w:val="18"/>
                <w:lang w:val="en-US"/>
              </w:rPr>
              <w:t>38;1</w:t>
            </w:r>
            <w:r w:rsidR="00D041F0" w:rsidRPr="00DB6D42">
              <w:rPr>
                <w:rFonts w:cs="Arial"/>
                <w:color w:val="000000"/>
                <w:sz w:val="18"/>
                <w:szCs w:val="18"/>
                <w:lang w:val="en-US"/>
              </w:rPr>
              <w:t>·</w:t>
            </w:r>
            <w:r w:rsidRPr="00DB6D42">
              <w:rPr>
                <w:rFonts w:cs="Arial"/>
                <w:color w:val="000000"/>
                <w:sz w:val="18"/>
                <w:szCs w:val="18"/>
                <w:lang w:val="en-US"/>
              </w:rPr>
              <w:t>23)</w:t>
            </w:r>
          </w:p>
        </w:tc>
        <w:tc>
          <w:tcPr>
            <w:tcW w:w="1703" w:type="dxa"/>
            <w:shd w:val="clear" w:color="auto" w:fill="FFFFFF"/>
          </w:tcPr>
          <w:p w14:paraId="4A3A4B5C" w14:textId="4D2633FB"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1</w:t>
            </w:r>
            <w:r w:rsidR="00D041F0" w:rsidRPr="00DB6D42">
              <w:rPr>
                <w:rFonts w:cs="Arial"/>
                <w:color w:val="000000"/>
                <w:sz w:val="18"/>
                <w:szCs w:val="18"/>
                <w:lang w:val="en-US"/>
              </w:rPr>
              <w:t>·</w:t>
            </w:r>
            <w:r w:rsidRPr="00DB6D42">
              <w:rPr>
                <w:rFonts w:cs="Arial"/>
                <w:color w:val="000000"/>
                <w:sz w:val="18"/>
                <w:szCs w:val="18"/>
                <w:lang w:val="en-US"/>
              </w:rPr>
              <w:t>05(0</w:t>
            </w:r>
            <w:r w:rsidR="00D041F0" w:rsidRPr="00DB6D42">
              <w:rPr>
                <w:rFonts w:cs="Arial"/>
                <w:color w:val="000000"/>
                <w:sz w:val="18"/>
                <w:szCs w:val="18"/>
                <w:lang w:val="en-US"/>
              </w:rPr>
              <w:t>·</w:t>
            </w:r>
            <w:r w:rsidRPr="00DB6D42">
              <w:rPr>
                <w:rFonts w:cs="Arial"/>
                <w:color w:val="000000"/>
                <w:sz w:val="18"/>
                <w:szCs w:val="18"/>
                <w:lang w:val="en-US"/>
              </w:rPr>
              <w:t>58;1</w:t>
            </w:r>
            <w:r w:rsidR="00D041F0" w:rsidRPr="00DB6D42">
              <w:rPr>
                <w:rFonts w:cs="Arial"/>
                <w:color w:val="000000"/>
                <w:sz w:val="18"/>
                <w:szCs w:val="18"/>
                <w:lang w:val="en-US"/>
              </w:rPr>
              <w:t>·</w:t>
            </w:r>
            <w:r w:rsidRPr="00DB6D42">
              <w:rPr>
                <w:rFonts w:cs="Arial"/>
                <w:color w:val="000000"/>
                <w:sz w:val="18"/>
                <w:szCs w:val="18"/>
                <w:lang w:val="en-US"/>
              </w:rPr>
              <w:t>92)</w:t>
            </w:r>
          </w:p>
        </w:tc>
        <w:tc>
          <w:tcPr>
            <w:tcW w:w="1703" w:type="dxa"/>
            <w:shd w:val="clear" w:color="auto" w:fill="FFFFFF"/>
          </w:tcPr>
          <w:p w14:paraId="3969E8C8" w14:textId="620FD2D8"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22(0</w:t>
            </w:r>
            <w:r w:rsidR="00D041F0" w:rsidRPr="00DB6D42">
              <w:rPr>
                <w:rFonts w:cs="Arial"/>
                <w:color w:val="000000"/>
                <w:sz w:val="18"/>
                <w:szCs w:val="18"/>
                <w:lang w:val="en-US"/>
              </w:rPr>
              <w:t>·</w:t>
            </w:r>
            <w:r w:rsidRPr="00DB6D42">
              <w:rPr>
                <w:rFonts w:cs="Arial"/>
                <w:color w:val="000000"/>
                <w:sz w:val="18"/>
                <w:szCs w:val="18"/>
                <w:lang w:val="en-US"/>
              </w:rPr>
              <w:t>12;0</w:t>
            </w:r>
            <w:r w:rsidR="00D041F0" w:rsidRPr="00DB6D42">
              <w:rPr>
                <w:rFonts w:cs="Arial"/>
                <w:color w:val="000000"/>
                <w:sz w:val="18"/>
                <w:szCs w:val="18"/>
                <w:lang w:val="en-US"/>
              </w:rPr>
              <w:t>·</w:t>
            </w:r>
            <w:r w:rsidRPr="00DB6D42">
              <w:rPr>
                <w:rFonts w:cs="Arial"/>
                <w:color w:val="000000"/>
                <w:sz w:val="18"/>
                <w:szCs w:val="18"/>
                <w:lang w:val="en-US"/>
              </w:rPr>
              <w:t>42)</w:t>
            </w:r>
          </w:p>
        </w:tc>
        <w:tc>
          <w:tcPr>
            <w:tcW w:w="1703" w:type="dxa"/>
            <w:shd w:val="clear" w:color="auto" w:fill="FFFFFF"/>
          </w:tcPr>
          <w:p w14:paraId="2F140AC3" w14:textId="76969D31" w:rsidR="00CC4C39" w:rsidRPr="00DB6D42" w:rsidRDefault="00CC4C39"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04;0</w:t>
            </w:r>
            <w:r w:rsidR="00D041F0" w:rsidRPr="00DB6D42">
              <w:rPr>
                <w:rFonts w:cs="Arial"/>
                <w:color w:val="000000"/>
                <w:sz w:val="18"/>
                <w:szCs w:val="18"/>
                <w:lang w:val="en-US"/>
              </w:rPr>
              <w:t>·</w:t>
            </w:r>
            <w:r w:rsidRPr="00DB6D42">
              <w:rPr>
                <w:rFonts w:cs="Arial"/>
                <w:color w:val="000000"/>
                <w:sz w:val="18"/>
                <w:szCs w:val="18"/>
                <w:lang w:val="en-US"/>
              </w:rPr>
              <w:t>12)</w:t>
            </w:r>
          </w:p>
        </w:tc>
      </w:tr>
      <w:tr w:rsidR="007B5AEF" w:rsidRPr="00DB6D42" w14:paraId="283EC37E" w14:textId="77777777" w:rsidTr="00DB6D42">
        <w:trPr>
          <w:cantSplit/>
          <w:jc w:val="center"/>
        </w:trPr>
        <w:tc>
          <w:tcPr>
            <w:tcW w:w="5445" w:type="dxa"/>
            <w:shd w:val="clear" w:color="auto" w:fill="FFFFFF"/>
          </w:tcPr>
          <w:p w14:paraId="6E2B408C" w14:textId="77777777" w:rsidR="007B5AEF" w:rsidRPr="00DB6D42" w:rsidRDefault="0032649D" w:rsidP="00BB5FF5">
            <w:pPr>
              <w:keepNext/>
              <w:adjustRightInd w:val="0"/>
              <w:spacing w:after="0"/>
              <w:rPr>
                <w:rFonts w:cs="Arial"/>
                <w:color w:val="000000"/>
                <w:sz w:val="18"/>
                <w:szCs w:val="18"/>
                <w:lang w:val="en-US"/>
              </w:rPr>
            </w:pPr>
            <w:r w:rsidRPr="00DB6D42">
              <w:rPr>
                <w:rFonts w:cs="Arial"/>
                <w:color w:val="000000"/>
                <w:sz w:val="18"/>
                <w:szCs w:val="18"/>
                <w:lang w:val="en-US"/>
              </w:rPr>
              <w:t>p-value for comparison against placebo at 12 months</w:t>
            </w:r>
            <w:r w:rsidR="002E01FE" w:rsidRPr="00DB6D42">
              <w:rPr>
                <w:rFonts w:cs="Arial"/>
                <w:color w:val="000000"/>
                <w:sz w:val="18"/>
                <w:szCs w:val="18"/>
                <w:lang w:val="en-US"/>
              </w:rPr>
              <w:t>*</w:t>
            </w:r>
          </w:p>
        </w:tc>
        <w:tc>
          <w:tcPr>
            <w:tcW w:w="1703" w:type="dxa"/>
            <w:shd w:val="clear" w:color="auto" w:fill="FFFFFF"/>
          </w:tcPr>
          <w:p w14:paraId="0C582D81" w14:textId="77777777" w:rsidR="007B5AEF" w:rsidRPr="00DB6D42" w:rsidRDefault="007B5AEF" w:rsidP="00BB5FF5">
            <w:pPr>
              <w:keepNext/>
              <w:adjustRightInd w:val="0"/>
              <w:spacing w:after="0"/>
              <w:jc w:val="center"/>
              <w:rPr>
                <w:rFonts w:cs="Arial"/>
                <w:color w:val="000000"/>
                <w:sz w:val="18"/>
                <w:szCs w:val="18"/>
                <w:lang w:val="en-US"/>
              </w:rPr>
            </w:pPr>
          </w:p>
        </w:tc>
        <w:tc>
          <w:tcPr>
            <w:tcW w:w="1703" w:type="dxa"/>
            <w:shd w:val="clear" w:color="auto" w:fill="FFFFFF"/>
          </w:tcPr>
          <w:p w14:paraId="2DD65E0B" w14:textId="0B1966ED" w:rsidR="007B5AEF" w:rsidRPr="00DB6D42" w:rsidRDefault="0032649D"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499</w:t>
            </w:r>
          </w:p>
        </w:tc>
        <w:tc>
          <w:tcPr>
            <w:tcW w:w="1703" w:type="dxa"/>
            <w:shd w:val="clear" w:color="auto" w:fill="FFFFFF"/>
          </w:tcPr>
          <w:p w14:paraId="13E29DF8" w14:textId="688E4AF7" w:rsidR="007B5AEF" w:rsidRPr="00DB6D42" w:rsidRDefault="0032649D"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744</w:t>
            </w:r>
          </w:p>
        </w:tc>
        <w:tc>
          <w:tcPr>
            <w:tcW w:w="1703" w:type="dxa"/>
            <w:shd w:val="clear" w:color="auto" w:fill="FFFFFF"/>
          </w:tcPr>
          <w:p w14:paraId="77D301FD" w14:textId="35DEE0C3" w:rsidR="007B5AEF" w:rsidRPr="00DB6D42" w:rsidRDefault="0032649D"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001</w:t>
            </w:r>
          </w:p>
        </w:tc>
        <w:tc>
          <w:tcPr>
            <w:tcW w:w="1703" w:type="dxa"/>
            <w:shd w:val="clear" w:color="auto" w:fill="FFFFFF"/>
          </w:tcPr>
          <w:p w14:paraId="75005160" w14:textId="42617C6B" w:rsidR="007B5AEF" w:rsidRPr="00DB6D42" w:rsidRDefault="0032649D"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&lt;0</w:t>
            </w:r>
            <w:r w:rsidR="00D041F0" w:rsidRPr="00DB6D42">
              <w:rPr>
                <w:rFonts w:cs="Arial"/>
                <w:color w:val="000000"/>
                <w:sz w:val="18"/>
                <w:szCs w:val="18"/>
                <w:lang w:val="en-US"/>
              </w:rPr>
              <w:t>·</w:t>
            </w:r>
            <w:r w:rsidRPr="00DB6D42">
              <w:rPr>
                <w:rFonts w:cs="Arial"/>
                <w:color w:val="000000"/>
                <w:sz w:val="18"/>
                <w:szCs w:val="18"/>
                <w:lang w:val="en-US"/>
              </w:rPr>
              <w:t>001</w:t>
            </w:r>
          </w:p>
        </w:tc>
      </w:tr>
      <w:tr w:rsidR="00CC4C39" w:rsidRPr="00DB6D42" w14:paraId="0018B020" w14:textId="77777777" w:rsidTr="00DB6D42">
        <w:trPr>
          <w:cantSplit/>
          <w:jc w:val="center"/>
        </w:trPr>
        <w:tc>
          <w:tcPr>
            <w:tcW w:w="5445" w:type="dxa"/>
            <w:shd w:val="clear" w:color="auto" w:fill="FFFFFF"/>
          </w:tcPr>
          <w:p w14:paraId="0ADE76BE" w14:textId="77777777" w:rsidR="00CC4C39" w:rsidRPr="00DB6D42" w:rsidRDefault="00CC4C39" w:rsidP="00BB5FF5">
            <w:pPr>
              <w:keepNext/>
              <w:adjustRightInd w:val="0"/>
              <w:spacing w:after="0"/>
              <w:rPr>
                <w:rFonts w:cs="Arial"/>
                <w:color w:val="000000"/>
                <w:sz w:val="18"/>
                <w:szCs w:val="18"/>
                <w:lang w:val="en-US"/>
              </w:rPr>
            </w:pPr>
          </w:p>
        </w:tc>
        <w:tc>
          <w:tcPr>
            <w:tcW w:w="1703" w:type="dxa"/>
            <w:shd w:val="clear" w:color="auto" w:fill="FFFFFF"/>
          </w:tcPr>
          <w:p w14:paraId="137E12D2"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shd w:val="clear" w:color="auto" w:fill="FFFFFF"/>
          </w:tcPr>
          <w:p w14:paraId="66A4B3D1"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shd w:val="clear" w:color="auto" w:fill="FFFFFF"/>
          </w:tcPr>
          <w:p w14:paraId="5793353C"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shd w:val="clear" w:color="auto" w:fill="FFFFFF"/>
          </w:tcPr>
          <w:p w14:paraId="456E369B"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shd w:val="clear" w:color="auto" w:fill="FFFFFF"/>
          </w:tcPr>
          <w:p w14:paraId="3031C328" w14:textId="77777777" w:rsidR="00CC4C39" w:rsidRPr="00DB6D42" w:rsidRDefault="00CC4C39" w:rsidP="00BB5FF5">
            <w:pPr>
              <w:keepNext/>
              <w:adjustRightInd w:val="0"/>
              <w:spacing w:after="0"/>
              <w:jc w:val="center"/>
              <w:rPr>
                <w:rFonts w:cs="Arial"/>
                <w:color w:val="000000"/>
                <w:sz w:val="18"/>
                <w:szCs w:val="18"/>
                <w:lang w:val="en-US"/>
              </w:rPr>
            </w:pPr>
          </w:p>
        </w:tc>
      </w:tr>
      <w:tr w:rsidR="00CC4C39" w:rsidRPr="00DB6D42" w14:paraId="058ABF97" w14:textId="77777777" w:rsidTr="00DB6D42">
        <w:trPr>
          <w:cantSplit/>
          <w:jc w:val="center"/>
        </w:trPr>
        <w:tc>
          <w:tcPr>
            <w:tcW w:w="5445" w:type="dxa"/>
            <w:shd w:val="clear" w:color="auto" w:fill="FFFFFF"/>
          </w:tcPr>
          <w:p w14:paraId="4E295FE4" w14:textId="2DBCDAB9" w:rsidR="00CC4C39" w:rsidRPr="00DB6D42" w:rsidRDefault="00CC4C39" w:rsidP="00BB5FF5">
            <w:pPr>
              <w:keepNext/>
              <w:adjustRightInd w:val="0"/>
              <w:spacing w:after="0"/>
              <w:rPr>
                <w:rFonts w:cs="Arial"/>
                <w:color w:val="000000"/>
                <w:sz w:val="18"/>
                <w:szCs w:val="18"/>
                <w:lang w:val="en-US"/>
              </w:rPr>
            </w:pPr>
            <w:r w:rsidRPr="00DB6D42">
              <w:rPr>
                <w:rFonts w:cs="Arial"/>
                <w:color w:val="000000"/>
                <w:sz w:val="18"/>
                <w:szCs w:val="18"/>
                <w:lang w:val="en-US"/>
              </w:rPr>
              <w:t xml:space="preserve">Changes from baseline in </w:t>
            </w:r>
            <w:r w:rsidR="0043062B" w:rsidRPr="00DB6D42">
              <w:rPr>
                <w:rFonts w:cs="Arial"/>
                <w:color w:val="000000"/>
                <w:sz w:val="18"/>
                <w:szCs w:val="18"/>
                <w:lang w:val="en-US"/>
              </w:rPr>
              <w:t>conventional</w:t>
            </w:r>
            <w:r w:rsidRPr="00DB6D42">
              <w:rPr>
                <w:rFonts w:cs="Arial"/>
                <w:color w:val="000000"/>
                <w:sz w:val="18"/>
                <w:szCs w:val="18"/>
                <w:lang w:val="en-US"/>
              </w:rPr>
              <w:t xml:space="preserve"> E</w:t>
            </w:r>
            <w:r w:rsidR="0001400A" w:rsidRPr="00DB6D42">
              <w:rPr>
                <w:rFonts w:cs="Arial"/>
                <w:color w:val="000000"/>
                <w:sz w:val="18"/>
                <w:szCs w:val="18"/>
                <w:lang w:val="en-US"/>
              </w:rPr>
              <w:t>LISA</w:t>
            </w:r>
            <w:r w:rsidRPr="00DB6D42">
              <w:rPr>
                <w:rFonts w:cs="Arial"/>
                <w:color w:val="000000"/>
                <w:sz w:val="18"/>
                <w:szCs w:val="18"/>
                <w:lang w:val="en-US"/>
              </w:rPr>
              <w:t xml:space="preserve"> (mean diff (95%CI))</w:t>
            </w:r>
          </w:p>
        </w:tc>
        <w:tc>
          <w:tcPr>
            <w:tcW w:w="1703" w:type="dxa"/>
            <w:shd w:val="clear" w:color="auto" w:fill="FFFFFF"/>
          </w:tcPr>
          <w:p w14:paraId="24508460"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shd w:val="clear" w:color="auto" w:fill="FFFFFF"/>
          </w:tcPr>
          <w:p w14:paraId="3FF3101F"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shd w:val="clear" w:color="auto" w:fill="FFFFFF"/>
          </w:tcPr>
          <w:p w14:paraId="6ABE4668"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shd w:val="clear" w:color="auto" w:fill="FFFFFF"/>
          </w:tcPr>
          <w:p w14:paraId="209FF91F"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shd w:val="clear" w:color="auto" w:fill="FFFFFF"/>
          </w:tcPr>
          <w:p w14:paraId="3424DEF9" w14:textId="77777777" w:rsidR="00CC4C39" w:rsidRPr="00DB6D42" w:rsidRDefault="00CC4C39" w:rsidP="00BB5FF5">
            <w:pPr>
              <w:keepNext/>
              <w:adjustRightInd w:val="0"/>
              <w:spacing w:after="0"/>
              <w:jc w:val="center"/>
              <w:rPr>
                <w:rFonts w:cs="Arial"/>
                <w:color w:val="000000"/>
                <w:sz w:val="18"/>
                <w:szCs w:val="18"/>
                <w:lang w:val="en-US"/>
              </w:rPr>
            </w:pPr>
          </w:p>
        </w:tc>
      </w:tr>
      <w:tr w:rsidR="0043062B" w:rsidRPr="00DB6D42" w14:paraId="7C085F0E" w14:textId="77777777" w:rsidTr="00DB6D42">
        <w:trPr>
          <w:cantSplit/>
          <w:jc w:val="center"/>
        </w:trPr>
        <w:tc>
          <w:tcPr>
            <w:tcW w:w="5445" w:type="dxa"/>
            <w:shd w:val="clear" w:color="auto" w:fill="FFFFFF"/>
          </w:tcPr>
          <w:p w14:paraId="36E4C21F" w14:textId="77777777" w:rsidR="0043062B" w:rsidRPr="00DB6D42" w:rsidRDefault="0043062B" w:rsidP="00BB5FF5">
            <w:pPr>
              <w:keepNext/>
              <w:adjustRightInd w:val="0"/>
              <w:spacing w:after="0"/>
              <w:rPr>
                <w:rFonts w:cs="Arial"/>
                <w:color w:val="000000"/>
                <w:sz w:val="18"/>
                <w:szCs w:val="18"/>
                <w:lang w:val="en-US"/>
              </w:rPr>
            </w:pPr>
            <w:r w:rsidRPr="00DB6D42">
              <w:rPr>
                <w:rFonts w:cs="Arial"/>
                <w:color w:val="000000"/>
                <w:sz w:val="18"/>
                <w:szCs w:val="18"/>
                <w:lang w:val="en-US"/>
              </w:rPr>
              <w:t>D36</w:t>
            </w:r>
          </w:p>
        </w:tc>
        <w:tc>
          <w:tcPr>
            <w:tcW w:w="1703" w:type="dxa"/>
            <w:shd w:val="clear" w:color="auto" w:fill="FFFFFF"/>
          </w:tcPr>
          <w:p w14:paraId="00F7F6EF" w14:textId="1DD7235C"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05 (-0</w:t>
            </w:r>
            <w:r w:rsidR="00D041F0" w:rsidRPr="00DB6D42">
              <w:rPr>
                <w:rFonts w:cs="Arial"/>
                <w:color w:val="000000"/>
                <w:sz w:val="18"/>
                <w:szCs w:val="18"/>
                <w:lang w:val="en-US"/>
              </w:rPr>
              <w:t>·</w:t>
            </w:r>
            <w:r w:rsidRPr="00DB6D42">
              <w:rPr>
                <w:rFonts w:cs="Arial"/>
                <w:color w:val="000000"/>
                <w:sz w:val="18"/>
                <w:szCs w:val="18"/>
                <w:lang w:val="en-US"/>
              </w:rPr>
              <w:t>17;0</w:t>
            </w:r>
            <w:r w:rsidR="00D041F0" w:rsidRPr="00DB6D42">
              <w:rPr>
                <w:rFonts w:cs="Arial"/>
                <w:color w:val="000000"/>
                <w:sz w:val="18"/>
                <w:szCs w:val="18"/>
                <w:lang w:val="en-US"/>
              </w:rPr>
              <w:t>·</w:t>
            </w:r>
            <w:r w:rsidRPr="00DB6D42">
              <w:rPr>
                <w:rFonts w:cs="Arial"/>
                <w:color w:val="000000"/>
                <w:sz w:val="18"/>
                <w:szCs w:val="18"/>
                <w:lang w:val="en-US"/>
              </w:rPr>
              <w:t>08)</w:t>
            </w:r>
          </w:p>
        </w:tc>
        <w:tc>
          <w:tcPr>
            <w:tcW w:w="1703" w:type="dxa"/>
            <w:shd w:val="clear" w:color="auto" w:fill="FFFFFF"/>
          </w:tcPr>
          <w:p w14:paraId="43C8CFDE" w14:textId="11742F52"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03 (-0</w:t>
            </w:r>
            <w:r w:rsidR="00D041F0" w:rsidRPr="00DB6D42">
              <w:rPr>
                <w:rFonts w:cs="Arial"/>
                <w:color w:val="000000"/>
                <w:sz w:val="18"/>
                <w:szCs w:val="18"/>
                <w:lang w:val="en-US"/>
              </w:rPr>
              <w:t>·</w:t>
            </w:r>
            <w:r w:rsidRPr="00DB6D42">
              <w:rPr>
                <w:rFonts w:cs="Arial"/>
                <w:color w:val="000000"/>
                <w:sz w:val="18"/>
                <w:szCs w:val="18"/>
                <w:lang w:val="en-US"/>
              </w:rPr>
              <w:t>15;0</w:t>
            </w:r>
            <w:r w:rsidR="00D041F0" w:rsidRPr="00DB6D42">
              <w:rPr>
                <w:rFonts w:cs="Arial"/>
                <w:color w:val="000000"/>
                <w:sz w:val="18"/>
                <w:szCs w:val="18"/>
                <w:lang w:val="en-US"/>
              </w:rPr>
              <w:t>·</w:t>
            </w:r>
            <w:r w:rsidRPr="00DB6D42">
              <w:rPr>
                <w:rFonts w:cs="Arial"/>
                <w:color w:val="000000"/>
                <w:sz w:val="18"/>
                <w:szCs w:val="18"/>
                <w:lang w:val="en-US"/>
              </w:rPr>
              <w:t>09)</w:t>
            </w:r>
          </w:p>
        </w:tc>
        <w:tc>
          <w:tcPr>
            <w:tcW w:w="1703" w:type="dxa"/>
            <w:shd w:val="clear" w:color="auto" w:fill="FFFFFF"/>
          </w:tcPr>
          <w:p w14:paraId="09DB5577" w14:textId="57627970"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12 (-0</w:t>
            </w:r>
            <w:r w:rsidR="00D041F0" w:rsidRPr="00DB6D42">
              <w:rPr>
                <w:rFonts w:cs="Arial"/>
                <w:color w:val="000000"/>
                <w:sz w:val="18"/>
                <w:szCs w:val="18"/>
                <w:lang w:val="en-US"/>
              </w:rPr>
              <w:t>·</w:t>
            </w:r>
            <w:r w:rsidRPr="00DB6D42">
              <w:rPr>
                <w:rFonts w:cs="Arial"/>
                <w:color w:val="000000"/>
                <w:sz w:val="18"/>
                <w:szCs w:val="18"/>
                <w:lang w:val="en-US"/>
              </w:rPr>
              <w:t>01;0</w:t>
            </w:r>
            <w:r w:rsidR="00D041F0" w:rsidRPr="00DB6D42">
              <w:rPr>
                <w:rFonts w:cs="Arial"/>
                <w:color w:val="000000"/>
                <w:sz w:val="18"/>
                <w:szCs w:val="18"/>
                <w:lang w:val="en-US"/>
              </w:rPr>
              <w:t>·</w:t>
            </w:r>
            <w:r w:rsidRPr="00DB6D42">
              <w:rPr>
                <w:rFonts w:cs="Arial"/>
                <w:color w:val="000000"/>
                <w:sz w:val="18"/>
                <w:szCs w:val="18"/>
                <w:lang w:val="en-US"/>
              </w:rPr>
              <w:t>24)</w:t>
            </w:r>
          </w:p>
        </w:tc>
        <w:tc>
          <w:tcPr>
            <w:tcW w:w="1703" w:type="dxa"/>
            <w:shd w:val="clear" w:color="auto" w:fill="FFFFFF"/>
          </w:tcPr>
          <w:p w14:paraId="3E6A5EB1" w14:textId="3AC8D3D9"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06 (-0</w:t>
            </w:r>
            <w:r w:rsidR="00D041F0" w:rsidRPr="00DB6D42">
              <w:rPr>
                <w:rFonts w:cs="Arial"/>
                <w:color w:val="000000"/>
                <w:sz w:val="18"/>
                <w:szCs w:val="18"/>
                <w:lang w:val="en-US"/>
              </w:rPr>
              <w:t>·</w:t>
            </w:r>
            <w:r w:rsidRPr="00DB6D42">
              <w:rPr>
                <w:rFonts w:cs="Arial"/>
                <w:color w:val="000000"/>
                <w:sz w:val="18"/>
                <w:szCs w:val="18"/>
                <w:lang w:val="en-US"/>
              </w:rPr>
              <w:t>19;0</w:t>
            </w:r>
            <w:r w:rsidR="00D041F0" w:rsidRPr="00DB6D42">
              <w:rPr>
                <w:rFonts w:cs="Arial"/>
                <w:color w:val="000000"/>
                <w:sz w:val="18"/>
                <w:szCs w:val="18"/>
                <w:lang w:val="en-US"/>
              </w:rPr>
              <w:t>·</w:t>
            </w:r>
            <w:r w:rsidRPr="00DB6D42">
              <w:rPr>
                <w:rFonts w:cs="Arial"/>
                <w:color w:val="000000"/>
                <w:sz w:val="18"/>
                <w:szCs w:val="18"/>
                <w:lang w:val="en-US"/>
              </w:rPr>
              <w:t>07)</w:t>
            </w:r>
          </w:p>
        </w:tc>
        <w:tc>
          <w:tcPr>
            <w:tcW w:w="1703" w:type="dxa"/>
            <w:shd w:val="clear" w:color="auto" w:fill="FFFFFF"/>
          </w:tcPr>
          <w:p w14:paraId="11BF8971" w14:textId="7E864778"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119 (-0</w:t>
            </w:r>
            <w:r w:rsidR="00D041F0" w:rsidRPr="00DB6D42">
              <w:rPr>
                <w:rFonts w:cs="Arial"/>
                <w:color w:val="000000"/>
                <w:sz w:val="18"/>
                <w:szCs w:val="18"/>
                <w:lang w:val="en-US"/>
              </w:rPr>
              <w:t>·</w:t>
            </w:r>
            <w:r w:rsidRPr="00DB6D42">
              <w:rPr>
                <w:rFonts w:cs="Arial"/>
                <w:color w:val="000000"/>
                <w:sz w:val="18"/>
                <w:szCs w:val="18"/>
                <w:lang w:val="en-US"/>
              </w:rPr>
              <w:t>24;0</w:t>
            </w:r>
            <w:r w:rsidR="00D041F0" w:rsidRPr="00DB6D42">
              <w:rPr>
                <w:rFonts w:cs="Arial"/>
                <w:color w:val="000000"/>
                <w:sz w:val="18"/>
                <w:szCs w:val="18"/>
                <w:lang w:val="en-US"/>
              </w:rPr>
              <w:t>·</w:t>
            </w:r>
            <w:r w:rsidRPr="00DB6D42">
              <w:rPr>
                <w:rFonts w:cs="Arial"/>
                <w:color w:val="000000"/>
                <w:sz w:val="18"/>
                <w:szCs w:val="18"/>
                <w:lang w:val="en-US"/>
              </w:rPr>
              <w:t>01)</w:t>
            </w:r>
          </w:p>
        </w:tc>
      </w:tr>
      <w:tr w:rsidR="0043062B" w:rsidRPr="00DB6D42" w14:paraId="278E4314" w14:textId="77777777" w:rsidTr="00DB6D42">
        <w:trPr>
          <w:cantSplit/>
          <w:jc w:val="center"/>
        </w:trPr>
        <w:tc>
          <w:tcPr>
            <w:tcW w:w="5445" w:type="dxa"/>
            <w:shd w:val="clear" w:color="auto" w:fill="FFFFFF"/>
          </w:tcPr>
          <w:p w14:paraId="6833A654" w14:textId="77777777" w:rsidR="0043062B" w:rsidRPr="00DB6D42" w:rsidRDefault="0043062B" w:rsidP="00BB5FF5">
            <w:pPr>
              <w:keepNext/>
              <w:adjustRightInd w:val="0"/>
              <w:spacing w:after="0"/>
              <w:rPr>
                <w:rFonts w:cs="Arial"/>
                <w:color w:val="000000"/>
                <w:sz w:val="18"/>
                <w:szCs w:val="18"/>
                <w:lang w:val="en-US"/>
              </w:rPr>
            </w:pPr>
            <w:r w:rsidRPr="00DB6D42">
              <w:rPr>
                <w:rFonts w:cs="Arial"/>
                <w:color w:val="000000"/>
                <w:sz w:val="18"/>
                <w:szCs w:val="18"/>
                <w:lang w:val="en-US"/>
              </w:rPr>
              <w:t>EOT (D65)</w:t>
            </w:r>
          </w:p>
        </w:tc>
        <w:tc>
          <w:tcPr>
            <w:tcW w:w="1703" w:type="dxa"/>
            <w:shd w:val="clear" w:color="auto" w:fill="FFFFFF"/>
          </w:tcPr>
          <w:p w14:paraId="2080C34D" w14:textId="069CEECF"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07 (-0</w:t>
            </w:r>
            <w:r w:rsidR="00D041F0" w:rsidRPr="00DB6D42">
              <w:rPr>
                <w:rFonts w:cs="Arial"/>
                <w:color w:val="000000"/>
                <w:sz w:val="18"/>
                <w:szCs w:val="18"/>
                <w:lang w:val="en-US"/>
              </w:rPr>
              <w:t>·</w:t>
            </w:r>
            <w:r w:rsidRPr="00DB6D42">
              <w:rPr>
                <w:rFonts w:cs="Arial"/>
                <w:color w:val="000000"/>
                <w:sz w:val="18"/>
                <w:szCs w:val="18"/>
                <w:lang w:val="en-US"/>
              </w:rPr>
              <w:t>19;0</w:t>
            </w:r>
            <w:r w:rsidR="00D041F0" w:rsidRPr="00DB6D42">
              <w:rPr>
                <w:rFonts w:cs="Arial"/>
                <w:color w:val="000000"/>
                <w:sz w:val="18"/>
                <w:szCs w:val="18"/>
                <w:lang w:val="en-US"/>
              </w:rPr>
              <w:t>·</w:t>
            </w:r>
            <w:r w:rsidRPr="00DB6D42">
              <w:rPr>
                <w:rFonts w:cs="Arial"/>
                <w:color w:val="000000"/>
                <w:sz w:val="18"/>
                <w:szCs w:val="18"/>
                <w:lang w:val="en-US"/>
              </w:rPr>
              <w:t>05)</w:t>
            </w:r>
          </w:p>
        </w:tc>
        <w:tc>
          <w:tcPr>
            <w:tcW w:w="1703" w:type="dxa"/>
            <w:shd w:val="clear" w:color="auto" w:fill="FFFFFF"/>
          </w:tcPr>
          <w:p w14:paraId="06D13233" w14:textId="114780A6"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0B11C5" w:rsidRPr="00DB6D42">
              <w:rPr>
                <w:rFonts w:cs="Arial"/>
                <w:color w:val="000000"/>
                <w:sz w:val="18"/>
                <w:szCs w:val="18"/>
                <w:lang w:val="en-US"/>
              </w:rPr>
              <w:t>2</w:t>
            </w:r>
            <w:r w:rsidRPr="00DB6D42">
              <w:rPr>
                <w:rFonts w:cs="Arial"/>
                <w:color w:val="000000"/>
                <w:sz w:val="18"/>
                <w:szCs w:val="18"/>
                <w:lang w:val="en-US"/>
              </w:rPr>
              <w:t xml:space="preserve"> (-0</w:t>
            </w:r>
            <w:r w:rsidR="00D041F0" w:rsidRPr="00DB6D42">
              <w:rPr>
                <w:rFonts w:cs="Arial"/>
                <w:color w:val="000000"/>
                <w:sz w:val="18"/>
                <w:szCs w:val="18"/>
                <w:lang w:val="en-US"/>
              </w:rPr>
              <w:t>·</w:t>
            </w:r>
            <w:r w:rsidRPr="00DB6D42">
              <w:rPr>
                <w:rFonts w:cs="Arial"/>
                <w:color w:val="000000"/>
                <w:sz w:val="18"/>
                <w:szCs w:val="18"/>
                <w:lang w:val="en-US"/>
              </w:rPr>
              <w:t>1</w:t>
            </w:r>
            <w:r w:rsidR="000B11C5" w:rsidRPr="00DB6D42">
              <w:rPr>
                <w:rFonts w:cs="Arial"/>
                <w:color w:val="000000"/>
                <w:sz w:val="18"/>
                <w:szCs w:val="18"/>
                <w:lang w:val="en-US"/>
              </w:rPr>
              <w:t>4</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10</w:t>
            </w:r>
            <w:r w:rsidR="000B11C5" w:rsidRPr="00DB6D42">
              <w:rPr>
                <w:rFonts w:cs="Arial"/>
                <w:color w:val="000000"/>
                <w:sz w:val="18"/>
                <w:szCs w:val="18"/>
                <w:lang w:val="en-US"/>
              </w:rPr>
              <w:t>4</w:t>
            </w:r>
            <w:r w:rsidRPr="00DB6D42">
              <w:rPr>
                <w:rFonts w:cs="Arial"/>
                <w:color w:val="000000"/>
                <w:sz w:val="18"/>
                <w:szCs w:val="18"/>
                <w:lang w:val="en-US"/>
              </w:rPr>
              <w:t>1)</w:t>
            </w:r>
          </w:p>
        </w:tc>
        <w:tc>
          <w:tcPr>
            <w:tcW w:w="1703" w:type="dxa"/>
            <w:shd w:val="clear" w:color="auto" w:fill="FFFFFF"/>
          </w:tcPr>
          <w:p w14:paraId="227F7E1C" w14:textId="4AED889F" w:rsidR="0043062B" w:rsidRPr="00DB6D42" w:rsidRDefault="000B11C5"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08</w:t>
            </w:r>
            <w:r w:rsidR="0043062B" w:rsidRPr="00DB6D42">
              <w:rPr>
                <w:rFonts w:cs="Arial"/>
                <w:color w:val="000000"/>
                <w:sz w:val="18"/>
                <w:szCs w:val="18"/>
                <w:lang w:val="en-US"/>
              </w:rPr>
              <w:t xml:space="preserve"> (-0</w:t>
            </w:r>
            <w:r w:rsidR="00D041F0" w:rsidRPr="00DB6D42">
              <w:rPr>
                <w:rFonts w:cs="Arial"/>
                <w:color w:val="000000"/>
                <w:sz w:val="18"/>
                <w:szCs w:val="18"/>
                <w:lang w:val="en-US"/>
              </w:rPr>
              <w:t>·</w:t>
            </w:r>
            <w:r w:rsidR="0043062B" w:rsidRPr="00DB6D42">
              <w:rPr>
                <w:rFonts w:cs="Arial"/>
                <w:color w:val="000000"/>
                <w:sz w:val="18"/>
                <w:szCs w:val="18"/>
                <w:lang w:val="en-US"/>
              </w:rPr>
              <w:t>0</w:t>
            </w:r>
            <w:r w:rsidRPr="00DB6D42">
              <w:rPr>
                <w:rFonts w:cs="Arial"/>
                <w:color w:val="000000"/>
                <w:sz w:val="18"/>
                <w:szCs w:val="18"/>
                <w:lang w:val="en-US"/>
              </w:rPr>
              <w:t>5</w:t>
            </w:r>
            <w:r w:rsidR="0043062B"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20</w:t>
            </w:r>
            <w:r w:rsidR="0043062B" w:rsidRPr="00DB6D42">
              <w:rPr>
                <w:rFonts w:cs="Arial"/>
                <w:color w:val="000000"/>
                <w:sz w:val="18"/>
                <w:szCs w:val="18"/>
                <w:lang w:val="en-US"/>
              </w:rPr>
              <w:t>)</w:t>
            </w:r>
          </w:p>
        </w:tc>
        <w:tc>
          <w:tcPr>
            <w:tcW w:w="1703" w:type="dxa"/>
            <w:shd w:val="clear" w:color="auto" w:fill="FFFFFF"/>
          </w:tcPr>
          <w:p w14:paraId="1015B8C3" w14:textId="5EE689C4"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086 (-0</w:t>
            </w:r>
            <w:r w:rsidR="00D041F0" w:rsidRPr="00DB6D42">
              <w:rPr>
                <w:rFonts w:cs="Arial"/>
                <w:color w:val="000000"/>
                <w:sz w:val="18"/>
                <w:szCs w:val="18"/>
                <w:lang w:val="en-US"/>
              </w:rPr>
              <w:t>·</w:t>
            </w:r>
            <w:r w:rsidRPr="00DB6D42">
              <w:rPr>
                <w:rFonts w:cs="Arial"/>
                <w:color w:val="000000"/>
                <w:sz w:val="18"/>
                <w:szCs w:val="18"/>
                <w:lang w:val="en-US"/>
              </w:rPr>
              <w:t>21;0</w:t>
            </w:r>
            <w:r w:rsidR="00D041F0" w:rsidRPr="00DB6D42">
              <w:rPr>
                <w:rFonts w:cs="Arial"/>
                <w:color w:val="000000"/>
                <w:sz w:val="18"/>
                <w:szCs w:val="18"/>
                <w:lang w:val="en-US"/>
              </w:rPr>
              <w:t>·</w:t>
            </w:r>
            <w:r w:rsidRPr="00DB6D42">
              <w:rPr>
                <w:rFonts w:cs="Arial"/>
                <w:color w:val="000000"/>
                <w:sz w:val="18"/>
                <w:szCs w:val="18"/>
                <w:lang w:val="en-US"/>
              </w:rPr>
              <w:t>04)</w:t>
            </w:r>
          </w:p>
        </w:tc>
        <w:tc>
          <w:tcPr>
            <w:tcW w:w="1703" w:type="dxa"/>
            <w:shd w:val="clear" w:color="auto" w:fill="FFFFFF"/>
          </w:tcPr>
          <w:p w14:paraId="2C5DDA59" w14:textId="3F723E65"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0B11C5" w:rsidRPr="00DB6D42">
              <w:rPr>
                <w:rFonts w:cs="Arial"/>
                <w:color w:val="000000"/>
                <w:sz w:val="18"/>
                <w:szCs w:val="18"/>
                <w:lang w:val="en-US"/>
              </w:rPr>
              <w:t>8</w:t>
            </w:r>
            <w:r w:rsidRPr="00DB6D42">
              <w:rPr>
                <w:rFonts w:cs="Arial"/>
                <w:color w:val="000000"/>
                <w:sz w:val="18"/>
                <w:szCs w:val="18"/>
                <w:lang w:val="en-US"/>
              </w:rPr>
              <w:t xml:space="preserve"> (-0</w:t>
            </w:r>
            <w:r w:rsidR="00D041F0" w:rsidRPr="00DB6D42">
              <w:rPr>
                <w:rFonts w:cs="Arial"/>
                <w:color w:val="000000"/>
                <w:sz w:val="18"/>
                <w:szCs w:val="18"/>
                <w:lang w:val="en-US"/>
              </w:rPr>
              <w:t>·</w:t>
            </w:r>
            <w:r w:rsidRPr="00DB6D42">
              <w:rPr>
                <w:rFonts w:cs="Arial"/>
                <w:color w:val="000000"/>
                <w:sz w:val="18"/>
                <w:szCs w:val="18"/>
                <w:lang w:val="en-US"/>
              </w:rPr>
              <w:t>20;0</w:t>
            </w:r>
            <w:r w:rsidR="00D041F0" w:rsidRPr="00DB6D42">
              <w:rPr>
                <w:rFonts w:cs="Arial"/>
                <w:color w:val="000000"/>
                <w:sz w:val="18"/>
                <w:szCs w:val="18"/>
                <w:lang w:val="en-US"/>
              </w:rPr>
              <w:t>·</w:t>
            </w:r>
            <w:r w:rsidRPr="00DB6D42">
              <w:rPr>
                <w:rFonts w:cs="Arial"/>
                <w:color w:val="000000"/>
                <w:sz w:val="18"/>
                <w:szCs w:val="18"/>
                <w:lang w:val="en-US"/>
              </w:rPr>
              <w:t>0</w:t>
            </w:r>
            <w:r w:rsidR="000B11C5" w:rsidRPr="00DB6D42">
              <w:rPr>
                <w:rFonts w:cs="Arial"/>
                <w:color w:val="000000"/>
                <w:sz w:val="18"/>
                <w:szCs w:val="18"/>
                <w:lang w:val="en-US"/>
              </w:rPr>
              <w:t>5</w:t>
            </w:r>
            <w:r w:rsidRPr="00DB6D42">
              <w:rPr>
                <w:rFonts w:cs="Arial"/>
                <w:color w:val="000000"/>
                <w:sz w:val="18"/>
                <w:szCs w:val="18"/>
                <w:lang w:val="en-US"/>
              </w:rPr>
              <w:t>)</w:t>
            </w:r>
          </w:p>
        </w:tc>
      </w:tr>
      <w:tr w:rsidR="0043062B" w:rsidRPr="00DB6D42" w14:paraId="7C835BCB" w14:textId="77777777" w:rsidTr="00DB6D42">
        <w:trPr>
          <w:cantSplit/>
          <w:jc w:val="center"/>
        </w:trPr>
        <w:tc>
          <w:tcPr>
            <w:tcW w:w="5445" w:type="dxa"/>
            <w:shd w:val="clear" w:color="auto" w:fill="FFFFFF"/>
          </w:tcPr>
          <w:p w14:paraId="17B01954" w14:textId="77777777" w:rsidR="0043062B" w:rsidRPr="00DB6D42" w:rsidRDefault="0043062B" w:rsidP="00BB5FF5">
            <w:pPr>
              <w:keepNext/>
              <w:adjustRightInd w:val="0"/>
              <w:spacing w:after="0"/>
              <w:rPr>
                <w:rFonts w:cs="Arial"/>
                <w:color w:val="000000"/>
                <w:sz w:val="18"/>
                <w:szCs w:val="18"/>
                <w:lang w:val="en-US"/>
              </w:rPr>
            </w:pPr>
            <w:r w:rsidRPr="00DB6D42">
              <w:rPr>
                <w:rFonts w:cs="Arial"/>
                <w:color w:val="000000"/>
                <w:sz w:val="18"/>
                <w:szCs w:val="18"/>
                <w:lang w:val="en-US"/>
              </w:rPr>
              <w:t>4 months</w:t>
            </w:r>
          </w:p>
        </w:tc>
        <w:tc>
          <w:tcPr>
            <w:tcW w:w="1703" w:type="dxa"/>
            <w:shd w:val="clear" w:color="auto" w:fill="FFFFFF"/>
          </w:tcPr>
          <w:p w14:paraId="59C874CB" w14:textId="60244FF9"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14 (-0</w:t>
            </w:r>
            <w:r w:rsidR="00D041F0" w:rsidRPr="00DB6D42">
              <w:rPr>
                <w:rFonts w:cs="Arial"/>
                <w:color w:val="000000"/>
                <w:sz w:val="18"/>
                <w:szCs w:val="18"/>
                <w:lang w:val="en-US"/>
              </w:rPr>
              <w:t>·</w:t>
            </w:r>
            <w:r w:rsidRPr="00DB6D42">
              <w:rPr>
                <w:rFonts w:cs="Arial"/>
                <w:color w:val="000000"/>
                <w:sz w:val="18"/>
                <w:szCs w:val="18"/>
                <w:lang w:val="en-US"/>
              </w:rPr>
              <w:t>26;-0</w:t>
            </w:r>
            <w:r w:rsidR="00D041F0" w:rsidRPr="00DB6D42">
              <w:rPr>
                <w:rFonts w:cs="Arial"/>
                <w:color w:val="000000"/>
                <w:sz w:val="18"/>
                <w:szCs w:val="18"/>
                <w:lang w:val="en-US"/>
              </w:rPr>
              <w:t>·</w:t>
            </w:r>
            <w:r w:rsidRPr="00DB6D42">
              <w:rPr>
                <w:rFonts w:cs="Arial"/>
                <w:color w:val="000000"/>
                <w:sz w:val="18"/>
                <w:szCs w:val="18"/>
                <w:lang w:val="en-US"/>
              </w:rPr>
              <w:t>0</w:t>
            </w:r>
            <w:r w:rsidR="000B11C5" w:rsidRPr="00DB6D42">
              <w:rPr>
                <w:rFonts w:cs="Arial"/>
                <w:color w:val="000000"/>
                <w:sz w:val="18"/>
                <w:szCs w:val="18"/>
                <w:lang w:val="en-US"/>
              </w:rPr>
              <w:t>2</w:t>
            </w:r>
            <w:r w:rsidRPr="00DB6D42">
              <w:rPr>
                <w:rFonts w:cs="Arial"/>
                <w:color w:val="000000"/>
                <w:sz w:val="18"/>
                <w:szCs w:val="18"/>
                <w:lang w:val="en-US"/>
              </w:rPr>
              <w:t>)</w:t>
            </w:r>
          </w:p>
        </w:tc>
        <w:tc>
          <w:tcPr>
            <w:tcW w:w="1703" w:type="dxa"/>
            <w:shd w:val="clear" w:color="auto" w:fill="FFFFFF"/>
          </w:tcPr>
          <w:p w14:paraId="7A35824F" w14:textId="2EAD7484"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031 (-0</w:t>
            </w:r>
            <w:r w:rsidR="00D041F0" w:rsidRPr="00DB6D42">
              <w:rPr>
                <w:rFonts w:cs="Arial"/>
                <w:color w:val="000000"/>
                <w:sz w:val="18"/>
                <w:szCs w:val="18"/>
                <w:lang w:val="en-US"/>
              </w:rPr>
              <w:t>·</w:t>
            </w:r>
            <w:r w:rsidRPr="00DB6D42">
              <w:rPr>
                <w:rFonts w:cs="Arial"/>
                <w:color w:val="000000"/>
                <w:sz w:val="18"/>
                <w:szCs w:val="18"/>
                <w:lang w:val="en-US"/>
              </w:rPr>
              <w:t>15;0</w:t>
            </w:r>
            <w:r w:rsidR="00D041F0" w:rsidRPr="00DB6D42">
              <w:rPr>
                <w:rFonts w:cs="Arial"/>
                <w:color w:val="000000"/>
                <w:sz w:val="18"/>
                <w:szCs w:val="18"/>
                <w:lang w:val="en-US"/>
              </w:rPr>
              <w:t>·</w:t>
            </w:r>
            <w:r w:rsidRPr="00DB6D42">
              <w:rPr>
                <w:rFonts w:cs="Arial"/>
                <w:color w:val="000000"/>
                <w:sz w:val="18"/>
                <w:szCs w:val="18"/>
                <w:lang w:val="en-US"/>
              </w:rPr>
              <w:t>09)</w:t>
            </w:r>
          </w:p>
        </w:tc>
        <w:tc>
          <w:tcPr>
            <w:tcW w:w="1703" w:type="dxa"/>
            <w:shd w:val="clear" w:color="auto" w:fill="FFFFFF"/>
          </w:tcPr>
          <w:p w14:paraId="71D5067C" w14:textId="24C9B4CE"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03 (-0</w:t>
            </w:r>
            <w:r w:rsidR="00D041F0" w:rsidRPr="00DB6D42">
              <w:rPr>
                <w:rFonts w:cs="Arial"/>
                <w:color w:val="000000"/>
                <w:sz w:val="18"/>
                <w:szCs w:val="18"/>
                <w:lang w:val="en-US"/>
              </w:rPr>
              <w:t>·</w:t>
            </w:r>
            <w:r w:rsidRPr="00DB6D42">
              <w:rPr>
                <w:rFonts w:cs="Arial"/>
                <w:color w:val="000000"/>
                <w:sz w:val="18"/>
                <w:szCs w:val="18"/>
                <w:lang w:val="en-US"/>
              </w:rPr>
              <w:t>15;0</w:t>
            </w:r>
            <w:r w:rsidR="00D041F0" w:rsidRPr="00DB6D42">
              <w:rPr>
                <w:rFonts w:cs="Arial"/>
                <w:color w:val="000000"/>
                <w:sz w:val="18"/>
                <w:szCs w:val="18"/>
                <w:lang w:val="en-US"/>
              </w:rPr>
              <w:t>·</w:t>
            </w:r>
            <w:r w:rsidRPr="00DB6D42">
              <w:rPr>
                <w:rFonts w:cs="Arial"/>
                <w:color w:val="000000"/>
                <w:sz w:val="18"/>
                <w:szCs w:val="18"/>
                <w:lang w:val="en-US"/>
              </w:rPr>
              <w:t>09)</w:t>
            </w:r>
          </w:p>
        </w:tc>
        <w:tc>
          <w:tcPr>
            <w:tcW w:w="1703" w:type="dxa"/>
            <w:shd w:val="clear" w:color="auto" w:fill="FFFFFF"/>
          </w:tcPr>
          <w:p w14:paraId="1466B192" w14:textId="186C6362"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018 (-0</w:t>
            </w:r>
            <w:r w:rsidR="00D041F0" w:rsidRPr="00DB6D42">
              <w:rPr>
                <w:rFonts w:cs="Arial"/>
                <w:color w:val="000000"/>
                <w:sz w:val="18"/>
                <w:szCs w:val="18"/>
                <w:lang w:val="en-US"/>
              </w:rPr>
              <w:t>·</w:t>
            </w:r>
            <w:r w:rsidRPr="00DB6D42">
              <w:rPr>
                <w:rFonts w:cs="Arial"/>
                <w:color w:val="000000"/>
                <w:sz w:val="18"/>
                <w:szCs w:val="18"/>
                <w:lang w:val="en-US"/>
              </w:rPr>
              <w:t>11;0</w:t>
            </w:r>
            <w:r w:rsidR="00D041F0" w:rsidRPr="00DB6D42">
              <w:rPr>
                <w:rFonts w:cs="Arial"/>
                <w:color w:val="000000"/>
                <w:sz w:val="18"/>
                <w:szCs w:val="18"/>
                <w:lang w:val="en-US"/>
              </w:rPr>
              <w:t>·</w:t>
            </w:r>
            <w:r w:rsidRPr="00DB6D42">
              <w:rPr>
                <w:rFonts w:cs="Arial"/>
                <w:color w:val="000000"/>
                <w:sz w:val="18"/>
                <w:szCs w:val="18"/>
                <w:lang w:val="en-US"/>
              </w:rPr>
              <w:t>1</w:t>
            </w:r>
            <w:r w:rsidR="000B11C5" w:rsidRPr="00DB6D42">
              <w:rPr>
                <w:rFonts w:cs="Arial"/>
                <w:color w:val="000000"/>
                <w:sz w:val="18"/>
                <w:szCs w:val="18"/>
                <w:lang w:val="en-US"/>
              </w:rPr>
              <w:t>5</w:t>
            </w:r>
            <w:r w:rsidRPr="00DB6D42">
              <w:rPr>
                <w:rFonts w:cs="Arial"/>
                <w:color w:val="000000"/>
                <w:sz w:val="18"/>
                <w:szCs w:val="18"/>
                <w:lang w:val="en-US"/>
              </w:rPr>
              <w:t>)</w:t>
            </w:r>
          </w:p>
        </w:tc>
        <w:tc>
          <w:tcPr>
            <w:tcW w:w="1703" w:type="dxa"/>
            <w:shd w:val="clear" w:color="auto" w:fill="FFFFFF"/>
          </w:tcPr>
          <w:p w14:paraId="42B6DE85" w14:textId="75F50DFA"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05 (-0</w:t>
            </w:r>
            <w:r w:rsidR="00D041F0" w:rsidRPr="00DB6D42">
              <w:rPr>
                <w:rFonts w:cs="Arial"/>
                <w:color w:val="000000"/>
                <w:sz w:val="18"/>
                <w:szCs w:val="18"/>
                <w:lang w:val="en-US"/>
              </w:rPr>
              <w:t>·</w:t>
            </w:r>
            <w:r w:rsidRPr="00DB6D42">
              <w:rPr>
                <w:rFonts w:cs="Arial"/>
                <w:color w:val="000000"/>
                <w:sz w:val="18"/>
                <w:szCs w:val="18"/>
                <w:lang w:val="en-US"/>
              </w:rPr>
              <w:t>1</w:t>
            </w:r>
            <w:r w:rsidR="000B11C5" w:rsidRPr="00DB6D42">
              <w:rPr>
                <w:rFonts w:cs="Arial"/>
                <w:color w:val="000000"/>
                <w:sz w:val="18"/>
                <w:szCs w:val="18"/>
                <w:lang w:val="en-US"/>
              </w:rPr>
              <w:t>8</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0B11C5" w:rsidRPr="00DB6D42">
              <w:rPr>
                <w:rFonts w:cs="Arial"/>
                <w:color w:val="000000"/>
                <w:sz w:val="18"/>
                <w:szCs w:val="18"/>
                <w:lang w:val="en-US"/>
              </w:rPr>
              <w:t>8</w:t>
            </w:r>
            <w:r w:rsidRPr="00DB6D42">
              <w:rPr>
                <w:rFonts w:cs="Arial"/>
                <w:color w:val="000000"/>
                <w:sz w:val="18"/>
                <w:szCs w:val="18"/>
                <w:lang w:val="en-US"/>
              </w:rPr>
              <w:t>)</w:t>
            </w:r>
          </w:p>
        </w:tc>
      </w:tr>
      <w:tr w:rsidR="0043062B" w:rsidRPr="00DB6D42" w14:paraId="7C62BD52" w14:textId="77777777" w:rsidTr="00DB6D42">
        <w:trPr>
          <w:cantSplit/>
          <w:jc w:val="center"/>
        </w:trPr>
        <w:tc>
          <w:tcPr>
            <w:tcW w:w="5445" w:type="dxa"/>
            <w:shd w:val="clear" w:color="auto" w:fill="FFFFFF"/>
          </w:tcPr>
          <w:p w14:paraId="566585E3" w14:textId="77777777" w:rsidR="0043062B" w:rsidRPr="00DB6D42" w:rsidRDefault="0043062B" w:rsidP="00BB5FF5">
            <w:pPr>
              <w:keepNext/>
              <w:adjustRightInd w:val="0"/>
              <w:spacing w:after="0"/>
              <w:rPr>
                <w:rFonts w:cs="Arial"/>
                <w:color w:val="000000"/>
                <w:sz w:val="18"/>
                <w:szCs w:val="18"/>
                <w:lang w:val="en-US"/>
              </w:rPr>
            </w:pPr>
            <w:r w:rsidRPr="00DB6D42">
              <w:rPr>
                <w:rFonts w:cs="Arial"/>
                <w:color w:val="000000"/>
                <w:sz w:val="18"/>
                <w:szCs w:val="18"/>
                <w:lang w:val="en-US"/>
              </w:rPr>
              <w:t>6 months</w:t>
            </w:r>
          </w:p>
        </w:tc>
        <w:tc>
          <w:tcPr>
            <w:tcW w:w="1703" w:type="dxa"/>
            <w:shd w:val="clear" w:color="auto" w:fill="FFFFFF"/>
          </w:tcPr>
          <w:p w14:paraId="0FCE3B25" w14:textId="351C2B5E"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03 (-0</w:t>
            </w:r>
            <w:r w:rsidR="00D041F0" w:rsidRPr="00DB6D42">
              <w:rPr>
                <w:rFonts w:cs="Arial"/>
                <w:color w:val="000000"/>
                <w:sz w:val="18"/>
                <w:szCs w:val="18"/>
                <w:lang w:val="en-US"/>
              </w:rPr>
              <w:t>·</w:t>
            </w:r>
            <w:r w:rsidRPr="00DB6D42">
              <w:rPr>
                <w:rFonts w:cs="Arial"/>
                <w:color w:val="000000"/>
                <w:sz w:val="18"/>
                <w:szCs w:val="18"/>
                <w:lang w:val="en-US"/>
              </w:rPr>
              <w:t>1</w:t>
            </w:r>
            <w:r w:rsidR="000B11C5" w:rsidRPr="00DB6D42">
              <w:rPr>
                <w:rFonts w:cs="Arial"/>
                <w:color w:val="000000"/>
                <w:sz w:val="18"/>
                <w:szCs w:val="18"/>
                <w:lang w:val="en-US"/>
              </w:rPr>
              <w:t>5</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08)</w:t>
            </w:r>
          </w:p>
        </w:tc>
        <w:tc>
          <w:tcPr>
            <w:tcW w:w="1703" w:type="dxa"/>
            <w:shd w:val="clear" w:color="auto" w:fill="FFFFFF"/>
          </w:tcPr>
          <w:p w14:paraId="75BFC092" w14:textId="5B3F0101"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042 (-0</w:t>
            </w:r>
            <w:r w:rsidR="00D041F0" w:rsidRPr="00DB6D42">
              <w:rPr>
                <w:rFonts w:cs="Arial"/>
                <w:color w:val="000000"/>
                <w:sz w:val="18"/>
                <w:szCs w:val="18"/>
                <w:lang w:val="en-US"/>
              </w:rPr>
              <w:t>·</w:t>
            </w:r>
            <w:r w:rsidRPr="00DB6D42">
              <w:rPr>
                <w:rFonts w:cs="Arial"/>
                <w:color w:val="000000"/>
                <w:sz w:val="18"/>
                <w:szCs w:val="18"/>
                <w:lang w:val="en-US"/>
              </w:rPr>
              <w:t>15;0</w:t>
            </w:r>
            <w:r w:rsidR="00D041F0" w:rsidRPr="00DB6D42">
              <w:rPr>
                <w:rFonts w:cs="Arial"/>
                <w:color w:val="000000"/>
                <w:sz w:val="18"/>
                <w:szCs w:val="18"/>
                <w:lang w:val="en-US"/>
              </w:rPr>
              <w:t>·</w:t>
            </w:r>
            <w:r w:rsidRPr="00DB6D42">
              <w:rPr>
                <w:rFonts w:cs="Arial"/>
                <w:color w:val="000000"/>
                <w:sz w:val="18"/>
                <w:szCs w:val="18"/>
                <w:lang w:val="en-US"/>
              </w:rPr>
              <w:t>0</w:t>
            </w:r>
            <w:r w:rsidR="000B11C5" w:rsidRPr="00DB6D42">
              <w:rPr>
                <w:rFonts w:cs="Arial"/>
                <w:color w:val="000000"/>
                <w:sz w:val="18"/>
                <w:szCs w:val="18"/>
                <w:lang w:val="en-US"/>
              </w:rPr>
              <w:t>7</w:t>
            </w:r>
            <w:r w:rsidRPr="00DB6D42">
              <w:rPr>
                <w:rFonts w:cs="Arial"/>
                <w:color w:val="000000"/>
                <w:sz w:val="18"/>
                <w:szCs w:val="18"/>
                <w:lang w:val="en-US"/>
              </w:rPr>
              <w:t>)</w:t>
            </w:r>
          </w:p>
        </w:tc>
        <w:tc>
          <w:tcPr>
            <w:tcW w:w="1703" w:type="dxa"/>
            <w:shd w:val="clear" w:color="auto" w:fill="FFFFFF"/>
          </w:tcPr>
          <w:p w14:paraId="584BA1D7" w14:textId="75942228"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02 (-0</w:t>
            </w:r>
            <w:r w:rsidR="00D041F0" w:rsidRPr="00DB6D42">
              <w:rPr>
                <w:rFonts w:cs="Arial"/>
                <w:color w:val="000000"/>
                <w:sz w:val="18"/>
                <w:szCs w:val="18"/>
                <w:lang w:val="en-US"/>
              </w:rPr>
              <w:t>·</w:t>
            </w:r>
            <w:r w:rsidR="000B11C5" w:rsidRPr="00DB6D42">
              <w:rPr>
                <w:rFonts w:cs="Arial"/>
                <w:color w:val="000000"/>
                <w:sz w:val="18"/>
                <w:szCs w:val="18"/>
                <w:lang w:val="en-US"/>
              </w:rPr>
              <w:t>10</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13)</w:t>
            </w:r>
          </w:p>
        </w:tc>
        <w:tc>
          <w:tcPr>
            <w:tcW w:w="1703" w:type="dxa"/>
            <w:shd w:val="clear" w:color="auto" w:fill="FFFFFF"/>
          </w:tcPr>
          <w:p w14:paraId="688C983C" w14:textId="07FE1094"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037 (-0</w:t>
            </w:r>
            <w:r w:rsidR="00D041F0" w:rsidRPr="00DB6D42">
              <w:rPr>
                <w:rFonts w:cs="Arial"/>
                <w:color w:val="000000"/>
                <w:sz w:val="18"/>
                <w:szCs w:val="18"/>
                <w:lang w:val="en-US"/>
              </w:rPr>
              <w:t>·</w:t>
            </w:r>
            <w:r w:rsidRPr="00DB6D42">
              <w:rPr>
                <w:rFonts w:cs="Arial"/>
                <w:color w:val="000000"/>
                <w:sz w:val="18"/>
                <w:szCs w:val="18"/>
                <w:lang w:val="en-US"/>
              </w:rPr>
              <w:t>16;0</w:t>
            </w:r>
            <w:r w:rsidR="00D041F0" w:rsidRPr="00DB6D42">
              <w:rPr>
                <w:rFonts w:cs="Arial"/>
                <w:color w:val="000000"/>
                <w:sz w:val="18"/>
                <w:szCs w:val="18"/>
                <w:lang w:val="en-US"/>
              </w:rPr>
              <w:t>·</w:t>
            </w:r>
            <w:r w:rsidRPr="00DB6D42">
              <w:rPr>
                <w:rFonts w:cs="Arial"/>
                <w:color w:val="000000"/>
                <w:sz w:val="18"/>
                <w:szCs w:val="18"/>
                <w:lang w:val="en-US"/>
              </w:rPr>
              <w:t>08)</w:t>
            </w:r>
          </w:p>
        </w:tc>
        <w:tc>
          <w:tcPr>
            <w:tcW w:w="1703" w:type="dxa"/>
            <w:shd w:val="clear" w:color="auto" w:fill="FFFFFF"/>
          </w:tcPr>
          <w:p w14:paraId="74B91B8C" w14:textId="37B77C9C"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09 (-0</w:t>
            </w:r>
            <w:r w:rsidR="00D041F0" w:rsidRPr="00DB6D42">
              <w:rPr>
                <w:rFonts w:cs="Arial"/>
                <w:color w:val="000000"/>
                <w:sz w:val="18"/>
                <w:szCs w:val="18"/>
                <w:lang w:val="en-US"/>
              </w:rPr>
              <w:t>·</w:t>
            </w:r>
            <w:r w:rsidRPr="00DB6D42">
              <w:rPr>
                <w:rFonts w:cs="Arial"/>
                <w:color w:val="000000"/>
                <w:sz w:val="18"/>
                <w:szCs w:val="18"/>
                <w:lang w:val="en-US"/>
              </w:rPr>
              <w:t>2</w:t>
            </w:r>
            <w:r w:rsidR="000B11C5" w:rsidRPr="00DB6D42">
              <w:rPr>
                <w:rFonts w:cs="Arial"/>
                <w:color w:val="000000"/>
                <w:sz w:val="18"/>
                <w:szCs w:val="18"/>
                <w:lang w:val="en-US"/>
              </w:rPr>
              <w:t>1</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02)</w:t>
            </w:r>
          </w:p>
        </w:tc>
      </w:tr>
      <w:tr w:rsidR="0043062B" w:rsidRPr="00DB6D42" w14:paraId="1418B639" w14:textId="77777777" w:rsidTr="00DB6D42">
        <w:trPr>
          <w:cantSplit/>
          <w:jc w:val="center"/>
        </w:trPr>
        <w:tc>
          <w:tcPr>
            <w:tcW w:w="5445" w:type="dxa"/>
            <w:shd w:val="clear" w:color="auto" w:fill="FFFFFF"/>
          </w:tcPr>
          <w:p w14:paraId="7305EF8B" w14:textId="77777777" w:rsidR="0043062B" w:rsidRPr="00DB6D42" w:rsidRDefault="0043062B" w:rsidP="00BB5FF5">
            <w:pPr>
              <w:keepNext/>
              <w:adjustRightInd w:val="0"/>
              <w:spacing w:after="0"/>
              <w:rPr>
                <w:rFonts w:cs="Arial"/>
                <w:color w:val="000000"/>
                <w:sz w:val="18"/>
                <w:szCs w:val="18"/>
                <w:lang w:val="en-US"/>
              </w:rPr>
            </w:pPr>
            <w:r w:rsidRPr="00DB6D42">
              <w:rPr>
                <w:rFonts w:cs="Arial"/>
                <w:color w:val="000000"/>
                <w:sz w:val="18"/>
                <w:szCs w:val="18"/>
                <w:lang w:val="en-US"/>
              </w:rPr>
              <w:t>12 months</w:t>
            </w:r>
          </w:p>
        </w:tc>
        <w:tc>
          <w:tcPr>
            <w:tcW w:w="1703" w:type="dxa"/>
            <w:shd w:val="clear" w:color="auto" w:fill="FFFFFF"/>
          </w:tcPr>
          <w:p w14:paraId="45C391F8" w14:textId="3D2213FD"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15 (-0</w:t>
            </w:r>
            <w:r w:rsidR="00D041F0" w:rsidRPr="00DB6D42">
              <w:rPr>
                <w:rFonts w:cs="Arial"/>
                <w:color w:val="000000"/>
                <w:sz w:val="18"/>
                <w:szCs w:val="18"/>
                <w:lang w:val="en-US"/>
              </w:rPr>
              <w:t>·</w:t>
            </w:r>
            <w:r w:rsidRPr="00DB6D42">
              <w:rPr>
                <w:rFonts w:cs="Arial"/>
                <w:color w:val="000000"/>
                <w:sz w:val="18"/>
                <w:szCs w:val="18"/>
                <w:lang w:val="en-US"/>
              </w:rPr>
              <w:t>2</w:t>
            </w:r>
            <w:r w:rsidR="000B11C5" w:rsidRPr="00DB6D42">
              <w:rPr>
                <w:rFonts w:cs="Arial"/>
                <w:color w:val="000000"/>
                <w:sz w:val="18"/>
                <w:szCs w:val="18"/>
                <w:lang w:val="en-US"/>
              </w:rPr>
              <w:t>8</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0B11C5" w:rsidRPr="00DB6D42">
              <w:rPr>
                <w:rFonts w:cs="Arial"/>
                <w:color w:val="000000"/>
                <w:sz w:val="18"/>
                <w:szCs w:val="18"/>
                <w:lang w:val="en-US"/>
              </w:rPr>
              <w:t>3</w:t>
            </w:r>
            <w:r w:rsidRPr="00DB6D42">
              <w:rPr>
                <w:rFonts w:cs="Arial"/>
                <w:color w:val="000000"/>
                <w:sz w:val="18"/>
                <w:szCs w:val="18"/>
                <w:lang w:val="en-US"/>
              </w:rPr>
              <w:t>)</w:t>
            </w:r>
          </w:p>
        </w:tc>
        <w:tc>
          <w:tcPr>
            <w:tcW w:w="1703" w:type="dxa"/>
            <w:shd w:val="clear" w:color="auto" w:fill="FFFFFF"/>
          </w:tcPr>
          <w:p w14:paraId="7AC3B546" w14:textId="3E4D10E5"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192 (-0</w:t>
            </w:r>
            <w:r w:rsidR="00D041F0" w:rsidRPr="00DB6D42">
              <w:rPr>
                <w:rFonts w:cs="Arial"/>
                <w:color w:val="000000"/>
                <w:sz w:val="18"/>
                <w:szCs w:val="18"/>
                <w:lang w:val="en-US"/>
              </w:rPr>
              <w:t>·</w:t>
            </w:r>
            <w:r w:rsidRPr="00DB6D42">
              <w:rPr>
                <w:rFonts w:cs="Arial"/>
                <w:color w:val="000000"/>
                <w:sz w:val="18"/>
                <w:szCs w:val="18"/>
                <w:lang w:val="en-US"/>
              </w:rPr>
              <w:t>31;-0</w:t>
            </w:r>
            <w:r w:rsidR="00D041F0" w:rsidRPr="00DB6D42">
              <w:rPr>
                <w:rFonts w:cs="Arial"/>
                <w:color w:val="000000"/>
                <w:sz w:val="18"/>
                <w:szCs w:val="18"/>
                <w:lang w:val="en-US"/>
              </w:rPr>
              <w:t>·</w:t>
            </w:r>
            <w:r w:rsidRPr="00DB6D42">
              <w:rPr>
                <w:rFonts w:cs="Arial"/>
                <w:color w:val="000000"/>
                <w:sz w:val="18"/>
                <w:szCs w:val="18"/>
                <w:lang w:val="en-US"/>
              </w:rPr>
              <w:t>07)</w:t>
            </w:r>
          </w:p>
        </w:tc>
        <w:tc>
          <w:tcPr>
            <w:tcW w:w="1703" w:type="dxa"/>
            <w:shd w:val="clear" w:color="auto" w:fill="FFFFFF"/>
          </w:tcPr>
          <w:p w14:paraId="410E4AFF" w14:textId="44214983"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05 (-0</w:t>
            </w:r>
            <w:r w:rsidR="00D041F0" w:rsidRPr="00DB6D42">
              <w:rPr>
                <w:rFonts w:cs="Arial"/>
                <w:color w:val="000000"/>
                <w:sz w:val="18"/>
                <w:szCs w:val="18"/>
                <w:lang w:val="en-US"/>
              </w:rPr>
              <w:t>·</w:t>
            </w:r>
            <w:r w:rsidRPr="00DB6D42">
              <w:rPr>
                <w:rFonts w:cs="Arial"/>
                <w:color w:val="000000"/>
                <w:sz w:val="18"/>
                <w:szCs w:val="18"/>
                <w:lang w:val="en-US"/>
              </w:rPr>
              <w:t>18;0</w:t>
            </w:r>
            <w:r w:rsidR="00D041F0" w:rsidRPr="00DB6D42">
              <w:rPr>
                <w:rFonts w:cs="Arial"/>
                <w:color w:val="000000"/>
                <w:sz w:val="18"/>
                <w:szCs w:val="18"/>
                <w:lang w:val="en-US"/>
              </w:rPr>
              <w:t>·</w:t>
            </w:r>
            <w:r w:rsidRPr="00DB6D42">
              <w:rPr>
                <w:rFonts w:cs="Arial"/>
                <w:color w:val="000000"/>
                <w:sz w:val="18"/>
                <w:szCs w:val="18"/>
                <w:lang w:val="en-US"/>
              </w:rPr>
              <w:t>0</w:t>
            </w:r>
            <w:r w:rsidR="000B11C5" w:rsidRPr="00DB6D42">
              <w:rPr>
                <w:rFonts w:cs="Arial"/>
                <w:color w:val="000000"/>
                <w:sz w:val="18"/>
                <w:szCs w:val="18"/>
                <w:lang w:val="en-US"/>
              </w:rPr>
              <w:t>8</w:t>
            </w:r>
            <w:r w:rsidRPr="00DB6D42">
              <w:rPr>
                <w:rFonts w:cs="Arial"/>
                <w:color w:val="000000"/>
                <w:sz w:val="18"/>
                <w:szCs w:val="18"/>
                <w:lang w:val="en-US"/>
              </w:rPr>
              <w:t>)</w:t>
            </w:r>
          </w:p>
        </w:tc>
        <w:tc>
          <w:tcPr>
            <w:tcW w:w="1703" w:type="dxa"/>
            <w:shd w:val="clear" w:color="auto" w:fill="FFFFFF"/>
          </w:tcPr>
          <w:p w14:paraId="5C5FE92F" w14:textId="1A046CFF"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044 (-0</w:t>
            </w:r>
            <w:r w:rsidR="00D041F0" w:rsidRPr="00DB6D42">
              <w:rPr>
                <w:rFonts w:cs="Arial"/>
                <w:color w:val="000000"/>
                <w:sz w:val="18"/>
                <w:szCs w:val="18"/>
                <w:lang w:val="en-US"/>
              </w:rPr>
              <w:t>·</w:t>
            </w:r>
            <w:r w:rsidRPr="00DB6D42">
              <w:rPr>
                <w:rFonts w:cs="Arial"/>
                <w:color w:val="000000"/>
                <w:sz w:val="18"/>
                <w:szCs w:val="18"/>
                <w:lang w:val="en-US"/>
              </w:rPr>
              <w:t>1</w:t>
            </w:r>
            <w:r w:rsidR="000B11C5" w:rsidRPr="00DB6D42">
              <w:rPr>
                <w:rFonts w:cs="Arial"/>
                <w:color w:val="000000"/>
                <w:sz w:val="18"/>
                <w:szCs w:val="18"/>
                <w:lang w:val="en-US"/>
              </w:rPr>
              <w:t>8</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09)</w:t>
            </w:r>
          </w:p>
        </w:tc>
        <w:tc>
          <w:tcPr>
            <w:tcW w:w="1703" w:type="dxa"/>
            <w:shd w:val="clear" w:color="auto" w:fill="FFFFFF"/>
          </w:tcPr>
          <w:p w14:paraId="66819407" w14:textId="7424685C" w:rsidR="0043062B" w:rsidRPr="00DB6D42" w:rsidRDefault="000B11C5"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14</w:t>
            </w:r>
            <w:r w:rsidR="0043062B" w:rsidRPr="00DB6D42">
              <w:rPr>
                <w:rFonts w:cs="Arial"/>
                <w:color w:val="000000"/>
                <w:sz w:val="18"/>
                <w:szCs w:val="18"/>
                <w:lang w:val="en-US"/>
              </w:rPr>
              <w:t xml:space="preserve"> (-0</w:t>
            </w:r>
            <w:r w:rsidR="00D041F0" w:rsidRPr="00DB6D42">
              <w:rPr>
                <w:rFonts w:cs="Arial"/>
                <w:color w:val="000000"/>
                <w:sz w:val="18"/>
                <w:szCs w:val="18"/>
                <w:lang w:val="en-US"/>
              </w:rPr>
              <w:t>·</w:t>
            </w:r>
            <w:r w:rsidR="0043062B" w:rsidRPr="00DB6D42">
              <w:rPr>
                <w:rFonts w:cs="Arial"/>
                <w:color w:val="000000"/>
                <w:sz w:val="18"/>
                <w:szCs w:val="18"/>
                <w:lang w:val="en-US"/>
              </w:rPr>
              <w:t>27;-0</w:t>
            </w:r>
            <w:r w:rsidR="00D041F0" w:rsidRPr="00DB6D42">
              <w:rPr>
                <w:rFonts w:cs="Arial"/>
                <w:color w:val="000000"/>
                <w:sz w:val="18"/>
                <w:szCs w:val="18"/>
                <w:lang w:val="en-US"/>
              </w:rPr>
              <w:t>·</w:t>
            </w:r>
            <w:r w:rsidR="0043062B" w:rsidRPr="00DB6D42">
              <w:rPr>
                <w:rFonts w:cs="Arial"/>
                <w:color w:val="000000"/>
                <w:sz w:val="18"/>
                <w:szCs w:val="18"/>
                <w:lang w:val="en-US"/>
              </w:rPr>
              <w:t>01)</w:t>
            </w:r>
          </w:p>
        </w:tc>
      </w:tr>
      <w:tr w:rsidR="0043062B" w:rsidRPr="00DB6D42" w14:paraId="59CFBFC6" w14:textId="77777777" w:rsidTr="00DB6D42">
        <w:trPr>
          <w:cantSplit/>
          <w:jc w:val="center"/>
        </w:trPr>
        <w:tc>
          <w:tcPr>
            <w:tcW w:w="5445" w:type="dxa"/>
            <w:shd w:val="clear" w:color="auto" w:fill="FFFFFF"/>
          </w:tcPr>
          <w:p w14:paraId="13136ED8" w14:textId="77777777" w:rsidR="0043062B" w:rsidRPr="00DB6D42" w:rsidRDefault="0043062B" w:rsidP="00BB5FF5">
            <w:pPr>
              <w:keepNext/>
              <w:adjustRightInd w:val="0"/>
              <w:spacing w:after="0"/>
              <w:rPr>
                <w:rFonts w:cs="Arial"/>
                <w:color w:val="000000"/>
                <w:sz w:val="18"/>
                <w:szCs w:val="18"/>
                <w:lang w:val="en-US"/>
              </w:rPr>
            </w:pPr>
            <w:r w:rsidRPr="00DB6D42">
              <w:rPr>
                <w:rFonts w:cs="Arial"/>
                <w:color w:val="000000"/>
                <w:sz w:val="18"/>
                <w:szCs w:val="18"/>
                <w:lang w:val="en-US"/>
              </w:rPr>
              <w:t>p-value for comparison against placebo at 12 months</w:t>
            </w:r>
            <w:r w:rsidR="002E01FE" w:rsidRPr="00DB6D42">
              <w:rPr>
                <w:rFonts w:cs="Arial"/>
                <w:color w:val="000000"/>
                <w:sz w:val="18"/>
                <w:szCs w:val="18"/>
                <w:lang w:val="en-US"/>
              </w:rPr>
              <w:t>*</w:t>
            </w:r>
          </w:p>
        </w:tc>
        <w:tc>
          <w:tcPr>
            <w:tcW w:w="1703" w:type="dxa"/>
            <w:shd w:val="clear" w:color="auto" w:fill="FFFFFF"/>
          </w:tcPr>
          <w:p w14:paraId="6B90088B" w14:textId="77777777" w:rsidR="0043062B" w:rsidRPr="00DB6D42" w:rsidRDefault="0043062B" w:rsidP="00BB5FF5">
            <w:pPr>
              <w:keepNext/>
              <w:adjustRightInd w:val="0"/>
              <w:spacing w:after="0"/>
              <w:jc w:val="center"/>
              <w:rPr>
                <w:rFonts w:cs="Arial"/>
                <w:color w:val="000000"/>
                <w:sz w:val="18"/>
                <w:szCs w:val="18"/>
                <w:lang w:val="en-US"/>
              </w:rPr>
            </w:pPr>
          </w:p>
        </w:tc>
        <w:tc>
          <w:tcPr>
            <w:tcW w:w="1703" w:type="dxa"/>
            <w:shd w:val="clear" w:color="auto" w:fill="FFFFFF"/>
          </w:tcPr>
          <w:p w14:paraId="0FA49F8E" w14:textId="33C4844A"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670</w:t>
            </w:r>
          </w:p>
        </w:tc>
        <w:tc>
          <w:tcPr>
            <w:tcW w:w="1703" w:type="dxa"/>
            <w:shd w:val="clear" w:color="auto" w:fill="FFFFFF"/>
          </w:tcPr>
          <w:p w14:paraId="3989C328" w14:textId="1513CFE5"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254</w:t>
            </w:r>
          </w:p>
        </w:tc>
        <w:tc>
          <w:tcPr>
            <w:tcW w:w="1703" w:type="dxa"/>
            <w:shd w:val="clear" w:color="auto" w:fill="FFFFFF"/>
          </w:tcPr>
          <w:p w14:paraId="7510B4B0" w14:textId="341B42D5"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233</w:t>
            </w:r>
          </w:p>
        </w:tc>
        <w:tc>
          <w:tcPr>
            <w:tcW w:w="1703" w:type="dxa"/>
            <w:shd w:val="clear" w:color="auto" w:fill="FFFFFF"/>
          </w:tcPr>
          <w:p w14:paraId="1CF0B801" w14:textId="14DFB987"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868</w:t>
            </w:r>
          </w:p>
        </w:tc>
      </w:tr>
      <w:tr w:rsidR="00CC4C39" w:rsidRPr="00DB6D42" w14:paraId="33BEC0BE" w14:textId="77777777" w:rsidTr="00DB6D42">
        <w:trPr>
          <w:cantSplit/>
          <w:jc w:val="center"/>
        </w:trPr>
        <w:tc>
          <w:tcPr>
            <w:tcW w:w="5445" w:type="dxa"/>
            <w:shd w:val="clear" w:color="auto" w:fill="FFFFFF"/>
          </w:tcPr>
          <w:p w14:paraId="11FCFEBA" w14:textId="77777777" w:rsidR="00CC4C39" w:rsidRPr="00DB6D42" w:rsidRDefault="00CC4C39" w:rsidP="00BB5FF5">
            <w:pPr>
              <w:keepNext/>
              <w:adjustRightInd w:val="0"/>
              <w:spacing w:after="0"/>
              <w:rPr>
                <w:rFonts w:cs="Arial"/>
                <w:color w:val="000000"/>
                <w:sz w:val="18"/>
                <w:szCs w:val="18"/>
                <w:lang w:val="en-US"/>
              </w:rPr>
            </w:pPr>
          </w:p>
        </w:tc>
        <w:tc>
          <w:tcPr>
            <w:tcW w:w="1703" w:type="dxa"/>
            <w:shd w:val="clear" w:color="auto" w:fill="FFFFFF"/>
          </w:tcPr>
          <w:p w14:paraId="31C4D959"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shd w:val="clear" w:color="auto" w:fill="FFFFFF"/>
          </w:tcPr>
          <w:p w14:paraId="67D2F283"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shd w:val="clear" w:color="auto" w:fill="FFFFFF"/>
          </w:tcPr>
          <w:p w14:paraId="22AE7ADC"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shd w:val="clear" w:color="auto" w:fill="FFFFFF"/>
          </w:tcPr>
          <w:p w14:paraId="1AAC19A6"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shd w:val="clear" w:color="auto" w:fill="FFFFFF"/>
          </w:tcPr>
          <w:p w14:paraId="5760B2F8" w14:textId="77777777" w:rsidR="00CC4C39" w:rsidRPr="00DB6D42" w:rsidRDefault="00CC4C39" w:rsidP="00BB5FF5">
            <w:pPr>
              <w:keepNext/>
              <w:adjustRightInd w:val="0"/>
              <w:spacing w:after="0"/>
              <w:jc w:val="center"/>
              <w:rPr>
                <w:rFonts w:cs="Arial"/>
                <w:color w:val="000000"/>
                <w:sz w:val="18"/>
                <w:szCs w:val="18"/>
                <w:lang w:val="en-US"/>
              </w:rPr>
            </w:pPr>
          </w:p>
        </w:tc>
      </w:tr>
      <w:tr w:rsidR="00CC4C39" w:rsidRPr="00DB6D42" w14:paraId="471FBEB6" w14:textId="77777777" w:rsidTr="00DB6D42">
        <w:trPr>
          <w:cantSplit/>
          <w:jc w:val="center"/>
        </w:trPr>
        <w:tc>
          <w:tcPr>
            <w:tcW w:w="5445" w:type="dxa"/>
            <w:shd w:val="clear" w:color="auto" w:fill="FFFFFF"/>
          </w:tcPr>
          <w:p w14:paraId="37F4FB09" w14:textId="760326A3" w:rsidR="00CC4C39" w:rsidRPr="00DB6D42" w:rsidRDefault="00CC4C39" w:rsidP="00BB5FF5">
            <w:pPr>
              <w:keepNext/>
              <w:adjustRightInd w:val="0"/>
              <w:spacing w:after="0"/>
              <w:rPr>
                <w:rFonts w:cs="Arial"/>
                <w:color w:val="000000"/>
                <w:sz w:val="18"/>
                <w:szCs w:val="18"/>
                <w:lang w:val="en-US"/>
              </w:rPr>
            </w:pPr>
            <w:r w:rsidRPr="00DB6D42">
              <w:rPr>
                <w:rFonts w:cs="Arial"/>
                <w:color w:val="000000"/>
                <w:sz w:val="18"/>
                <w:szCs w:val="18"/>
                <w:lang w:val="en-US"/>
              </w:rPr>
              <w:t>Changes from baseline in AT CL-E</w:t>
            </w:r>
            <w:r w:rsidR="0001400A" w:rsidRPr="00DB6D42">
              <w:rPr>
                <w:rFonts w:cs="Arial"/>
                <w:color w:val="000000"/>
                <w:sz w:val="18"/>
                <w:szCs w:val="18"/>
                <w:lang w:val="en-US"/>
              </w:rPr>
              <w:t>LISA</w:t>
            </w:r>
            <w:r w:rsidRPr="00DB6D42">
              <w:rPr>
                <w:rFonts w:cs="Arial"/>
                <w:color w:val="000000"/>
                <w:sz w:val="18"/>
                <w:szCs w:val="18"/>
                <w:lang w:val="en-US"/>
              </w:rPr>
              <w:t xml:space="preserve"> (mean diff (95%CI))</w:t>
            </w:r>
          </w:p>
        </w:tc>
        <w:tc>
          <w:tcPr>
            <w:tcW w:w="1703" w:type="dxa"/>
            <w:shd w:val="clear" w:color="auto" w:fill="FFFFFF"/>
          </w:tcPr>
          <w:p w14:paraId="4C4F6315"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shd w:val="clear" w:color="auto" w:fill="FFFFFF"/>
          </w:tcPr>
          <w:p w14:paraId="1C98FC2A"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shd w:val="clear" w:color="auto" w:fill="FFFFFF"/>
          </w:tcPr>
          <w:p w14:paraId="340EA170"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shd w:val="clear" w:color="auto" w:fill="FFFFFF"/>
          </w:tcPr>
          <w:p w14:paraId="305418C9" w14:textId="77777777" w:rsidR="00CC4C39" w:rsidRPr="00DB6D42" w:rsidRDefault="00CC4C39" w:rsidP="00BB5FF5">
            <w:pPr>
              <w:keepNext/>
              <w:adjustRightInd w:val="0"/>
              <w:spacing w:after="0"/>
              <w:jc w:val="center"/>
              <w:rPr>
                <w:rFonts w:cs="Arial"/>
                <w:color w:val="000000"/>
                <w:sz w:val="18"/>
                <w:szCs w:val="18"/>
                <w:lang w:val="en-US"/>
              </w:rPr>
            </w:pPr>
          </w:p>
        </w:tc>
        <w:tc>
          <w:tcPr>
            <w:tcW w:w="1703" w:type="dxa"/>
            <w:shd w:val="clear" w:color="auto" w:fill="FFFFFF"/>
          </w:tcPr>
          <w:p w14:paraId="25479B5B" w14:textId="77777777" w:rsidR="00CC4C39" w:rsidRPr="00DB6D42" w:rsidRDefault="00CC4C39" w:rsidP="00BB5FF5">
            <w:pPr>
              <w:keepNext/>
              <w:adjustRightInd w:val="0"/>
              <w:spacing w:after="0"/>
              <w:jc w:val="center"/>
              <w:rPr>
                <w:rFonts w:cs="Arial"/>
                <w:color w:val="000000"/>
                <w:sz w:val="18"/>
                <w:szCs w:val="18"/>
                <w:lang w:val="en-US"/>
              </w:rPr>
            </w:pPr>
          </w:p>
        </w:tc>
      </w:tr>
      <w:tr w:rsidR="0043062B" w:rsidRPr="00DB6D42" w14:paraId="2DB6BE8D" w14:textId="77777777" w:rsidTr="00DB6D42">
        <w:trPr>
          <w:cantSplit/>
          <w:jc w:val="center"/>
        </w:trPr>
        <w:tc>
          <w:tcPr>
            <w:tcW w:w="5445" w:type="dxa"/>
            <w:shd w:val="clear" w:color="auto" w:fill="FFFFFF"/>
          </w:tcPr>
          <w:p w14:paraId="27E41EFD" w14:textId="77777777" w:rsidR="0043062B" w:rsidRPr="00DB6D42" w:rsidRDefault="0043062B" w:rsidP="00BB5FF5">
            <w:pPr>
              <w:keepNext/>
              <w:adjustRightInd w:val="0"/>
              <w:spacing w:after="0"/>
              <w:rPr>
                <w:rFonts w:cs="Arial"/>
                <w:color w:val="000000"/>
                <w:sz w:val="18"/>
                <w:szCs w:val="18"/>
                <w:lang w:val="en-US"/>
              </w:rPr>
            </w:pPr>
            <w:r w:rsidRPr="00DB6D42">
              <w:rPr>
                <w:rFonts w:cs="Arial"/>
                <w:color w:val="000000"/>
                <w:sz w:val="18"/>
                <w:szCs w:val="18"/>
                <w:lang w:val="en-US"/>
              </w:rPr>
              <w:t>D36</w:t>
            </w:r>
          </w:p>
        </w:tc>
        <w:tc>
          <w:tcPr>
            <w:tcW w:w="1703" w:type="dxa"/>
            <w:shd w:val="clear" w:color="auto" w:fill="FFFFFF"/>
          </w:tcPr>
          <w:p w14:paraId="7585A5B3" w14:textId="4C6FE849"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04 (-0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2</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1</w:t>
            </w:r>
            <w:r w:rsidR="001024A1" w:rsidRPr="00DB6D42">
              <w:rPr>
                <w:rFonts w:cs="Arial"/>
                <w:color w:val="000000"/>
                <w:sz w:val="18"/>
                <w:szCs w:val="18"/>
                <w:lang w:val="en-US"/>
              </w:rPr>
              <w:t>1</w:t>
            </w:r>
            <w:r w:rsidRPr="00DB6D42">
              <w:rPr>
                <w:rFonts w:cs="Arial"/>
                <w:color w:val="000000"/>
                <w:sz w:val="18"/>
                <w:szCs w:val="18"/>
                <w:lang w:val="en-US"/>
              </w:rPr>
              <w:t>)</w:t>
            </w:r>
          </w:p>
        </w:tc>
        <w:tc>
          <w:tcPr>
            <w:tcW w:w="1703" w:type="dxa"/>
            <w:shd w:val="clear" w:color="auto" w:fill="FFFFFF"/>
          </w:tcPr>
          <w:p w14:paraId="2332C368" w14:textId="6EF9291F"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 xml:space="preserve">00 </w:t>
            </w:r>
            <w:r w:rsidR="001024A1" w:rsidRPr="00DB6D42">
              <w:rPr>
                <w:rFonts w:cs="Arial"/>
                <w:color w:val="000000"/>
                <w:sz w:val="18"/>
                <w:szCs w:val="18"/>
                <w:lang w:val="en-US"/>
              </w:rPr>
              <w:t>(-0</w:t>
            </w:r>
            <w:r w:rsidR="00D041F0" w:rsidRPr="00DB6D42">
              <w:rPr>
                <w:rFonts w:cs="Arial"/>
                <w:color w:val="000000"/>
                <w:sz w:val="18"/>
                <w:szCs w:val="18"/>
                <w:lang w:val="en-US"/>
              </w:rPr>
              <w:t>·</w:t>
            </w:r>
            <w:r w:rsidR="001024A1" w:rsidRPr="00DB6D42">
              <w:rPr>
                <w:rFonts w:cs="Arial"/>
                <w:color w:val="000000"/>
                <w:sz w:val="18"/>
                <w:szCs w:val="18"/>
                <w:lang w:val="en-US"/>
              </w:rPr>
              <w:t>06</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6</w:t>
            </w:r>
            <w:r w:rsidRPr="00DB6D42">
              <w:rPr>
                <w:rFonts w:cs="Arial"/>
                <w:color w:val="000000"/>
                <w:sz w:val="18"/>
                <w:szCs w:val="18"/>
                <w:lang w:val="en-US"/>
              </w:rPr>
              <w:t>)</w:t>
            </w:r>
          </w:p>
        </w:tc>
        <w:tc>
          <w:tcPr>
            <w:tcW w:w="1703" w:type="dxa"/>
            <w:shd w:val="clear" w:color="auto" w:fill="FFFFFF"/>
          </w:tcPr>
          <w:p w14:paraId="6D7F3E87" w14:textId="33AD9F09"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02 (-0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4</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9</w:t>
            </w:r>
            <w:r w:rsidRPr="00DB6D42">
              <w:rPr>
                <w:rFonts w:cs="Arial"/>
                <w:color w:val="000000"/>
                <w:sz w:val="18"/>
                <w:szCs w:val="18"/>
                <w:lang w:val="en-US"/>
              </w:rPr>
              <w:t>)</w:t>
            </w:r>
          </w:p>
        </w:tc>
        <w:tc>
          <w:tcPr>
            <w:tcW w:w="1703" w:type="dxa"/>
            <w:shd w:val="clear" w:color="auto" w:fill="FFFFFF"/>
          </w:tcPr>
          <w:p w14:paraId="458EA167" w14:textId="3FF697C4"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01 (-0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05)</w:t>
            </w:r>
          </w:p>
        </w:tc>
        <w:tc>
          <w:tcPr>
            <w:tcW w:w="1703" w:type="dxa"/>
            <w:shd w:val="clear" w:color="auto" w:fill="FFFFFF"/>
          </w:tcPr>
          <w:p w14:paraId="0BD2B6AD" w14:textId="2A7B6408"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5</w:t>
            </w:r>
            <w:r w:rsidRPr="00DB6D42">
              <w:rPr>
                <w:rFonts w:cs="Arial"/>
                <w:color w:val="000000"/>
                <w:sz w:val="18"/>
                <w:szCs w:val="18"/>
                <w:lang w:val="en-US"/>
              </w:rPr>
              <w:t xml:space="preserve"> (-0</w:t>
            </w:r>
            <w:r w:rsidR="00D041F0" w:rsidRPr="00DB6D42">
              <w:rPr>
                <w:rFonts w:cs="Arial"/>
                <w:color w:val="000000"/>
                <w:sz w:val="18"/>
                <w:szCs w:val="18"/>
                <w:lang w:val="en-US"/>
              </w:rPr>
              <w:t>·</w:t>
            </w:r>
            <w:r w:rsidRPr="00DB6D42">
              <w:rPr>
                <w:rFonts w:cs="Arial"/>
                <w:color w:val="000000"/>
                <w:sz w:val="18"/>
                <w:szCs w:val="18"/>
                <w:lang w:val="en-US"/>
              </w:rPr>
              <w:t>01;0</w:t>
            </w:r>
            <w:r w:rsidR="00D041F0" w:rsidRPr="00DB6D42">
              <w:rPr>
                <w:rFonts w:cs="Arial"/>
                <w:color w:val="000000"/>
                <w:sz w:val="18"/>
                <w:szCs w:val="18"/>
                <w:lang w:val="en-US"/>
              </w:rPr>
              <w:t>·</w:t>
            </w:r>
            <w:r w:rsidRPr="00DB6D42">
              <w:rPr>
                <w:rFonts w:cs="Arial"/>
                <w:color w:val="000000"/>
                <w:sz w:val="18"/>
                <w:szCs w:val="18"/>
                <w:lang w:val="en-US"/>
              </w:rPr>
              <w:t>11)</w:t>
            </w:r>
          </w:p>
        </w:tc>
      </w:tr>
      <w:tr w:rsidR="0043062B" w:rsidRPr="00DB6D42" w14:paraId="54586DFC" w14:textId="77777777" w:rsidTr="00DB6D42">
        <w:trPr>
          <w:cantSplit/>
          <w:jc w:val="center"/>
        </w:trPr>
        <w:tc>
          <w:tcPr>
            <w:tcW w:w="5445" w:type="dxa"/>
            <w:shd w:val="clear" w:color="auto" w:fill="FFFFFF"/>
          </w:tcPr>
          <w:p w14:paraId="56B8E76F" w14:textId="77777777" w:rsidR="0043062B" w:rsidRPr="00DB6D42" w:rsidRDefault="0043062B" w:rsidP="00BB5FF5">
            <w:pPr>
              <w:keepNext/>
              <w:adjustRightInd w:val="0"/>
              <w:spacing w:after="0"/>
              <w:rPr>
                <w:rFonts w:cs="Arial"/>
                <w:color w:val="000000"/>
                <w:sz w:val="18"/>
                <w:szCs w:val="18"/>
                <w:lang w:val="en-US"/>
              </w:rPr>
            </w:pPr>
            <w:r w:rsidRPr="00DB6D42">
              <w:rPr>
                <w:rFonts w:cs="Arial"/>
                <w:color w:val="000000"/>
                <w:sz w:val="18"/>
                <w:szCs w:val="18"/>
                <w:lang w:val="en-US"/>
              </w:rPr>
              <w:t>EOT (D65)</w:t>
            </w:r>
          </w:p>
        </w:tc>
        <w:tc>
          <w:tcPr>
            <w:tcW w:w="1703" w:type="dxa"/>
            <w:shd w:val="clear" w:color="auto" w:fill="FFFFFF"/>
          </w:tcPr>
          <w:p w14:paraId="0E9380B8" w14:textId="3FA30953"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1</w:t>
            </w:r>
            <w:r w:rsidRPr="00DB6D42">
              <w:rPr>
                <w:rFonts w:cs="Arial"/>
                <w:color w:val="000000"/>
                <w:sz w:val="18"/>
                <w:szCs w:val="18"/>
                <w:lang w:val="en-US"/>
              </w:rPr>
              <w:t xml:space="preserve"> (-0</w:t>
            </w:r>
            <w:r w:rsidR="00D041F0" w:rsidRPr="00DB6D42">
              <w:rPr>
                <w:rFonts w:cs="Arial"/>
                <w:color w:val="000000"/>
                <w:sz w:val="18"/>
                <w:szCs w:val="18"/>
                <w:lang w:val="en-US"/>
              </w:rPr>
              <w:t>·</w:t>
            </w:r>
            <w:r w:rsidRPr="00DB6D42">
              <w:rPr>
                <w:rFonts w:cs="Arial"/>
                <w:color w:val="000000"/>
                <w:sz w:val="18"/>
                <w:szCs w:val="18"/>
                <w:lang w:val="en-US"/>
              </w:rPr>
              <w:t>06;0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8</w:t>
            </w:r>
            <w:r w:rsidRPr="00DB6D42">
              <w:rPr>
                <w:rFonts w:cs="Arial"/>
                <w:color w:val="000000"/>
                <w:sz w:val="18"/>
                <w:szCs w:val="18"/>
                <w:lang w:val="en-US"/>
              </w:rPr>
              <w:t>)</w:t>
            </w:r>
          </w:p>
        </w:tc>
        <w:tc>
          <w:tcPr>
            <w:tcW w:w="1703" w:type="dxa"/>
            <w:shd w:val="clear" w:color="auto" w:fill="FFFFFF"/>
          </w:tcPr>
          <w:p w14:paraId="4BBDBBD4" w14:textId="4008CCD4"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2</w:t>
            </w:r>
            <w:r w:rsidRPr="00DB6D42">
              <w:rPr>
                <w:rFonts w:cs="Arial"/>
                <w:color w:val="000000"/>
                <w:sz w:val="18"/>
                <w:szCs w:val="18"/>
                <w:lang w:val="en-US"/>
              </w:rPr>
              <w:t xml:space="preserve"> (-0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9</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05)</w:t>
            </w:r>
          </w:p>
        </w:tc>
        <w:tc>
          <w:tcPr>
            <w:tcW w:w="1703" w:type="dxa"/>
            <w:shd w:val="clear" w:color="auto" w:fill="FFFFFF"/>
          </w:tcPr>
          <w:p w14:paraId="48DB9B91" w14:textId="609A0A4D"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1</w:t>
            </w:r>
            <w:r w:rsidRPr="00DB6D42">
              <w:rPr>
                <w:rFonts w:cs="Arial"/>
                <w:color w:val="000000"/>
                <w:sz w:val="18"/>
                <w:szCs w:val="18"/>
                <w:lang w:val="en-US"/>
              </w:rPr>
              <w:t xml:space="preserve"> (-0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8</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06)</w:t>
            </w:r>
          </w:p>
        </w:tc>
        <w:tc>
          <w:tcPr>
            <w:tcW w:w="1703" w:type="dxa"/>
            <w:shd w:val="clear" w:color="auto" w:fill="FFFFFF"/>
          </w:tcPr>
          <w:p w14:paraId="2BEBE491" w14:textId="75479A8F"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4</w:t>
            </w:r>
            <w:r w:rsidRPr="00DB6D42">
              <w:rPr>
                <w:rFonts w:cs="Arial"/>
                <w:color w:val="000000"/>
                <w:sz w:val="18"/>
                <w:szCs w:val="18"/>
                <w:lang w:val="en-US"/>
              </w:rPr>
              <w:t xml:space="preserve"> (-0</w:t>
            </w:r>
            <w:r w:rsidR="00D041F0" w:rsidRPr="00DB6D42">
              <w:rPr>
                <w:rFonts w:cs="Arial"/>
                <w:color w:val="000000"/>
                <w:sz w:val="18"/>
                <w:szCs w:val="18"/>
                <w:lang w:val="en-US"/>
              </w:rPr>
              <w:t>·</w:t>
            </w:r>
            <w:r w:rsidRPr="00DB6D42">
              <w:rPr>
                <w:rFonts w:cs="Arial"/>
                <w:color w:val="000000"/>
                <w:sz w:val="18"/>
                <w:szCs w:val="18"/>
                <w:lang w:val="en-US"/>
              </w:rPr>
              <w:t>11;0</w:t>
            </w:r>
            <w:r w:rsidR="00D041F0" w:rsidRPr="00DB6D42">
              <w:rPr>
                <w:rFonts w:cs="Arial"/>
                <w:color w:val="000000"/>
                <w:sz w:val="18"/>
                <w:szCs w:val="18"/>
                <w:lang w:val="en-US"/>
              </w:rPr>
              <w:t>·</w:t>
            </w:r>
            <w:r w:rsidRPr="00DB6D42">
              <w:rPr>
                <w:rFonts w:cs="Arial"/>
                <w:color w:val="000000"/>
                <w:sz w:val="18"/>
                <w:szCs w:val="18"/>
                <w:lang w:val="en-US"/>
              </w:rPr>
              <w:t>03)</w:t>
            </w:r>
          </w:p>
        </w:tc>
        <w:tc>
          <w:tcPr>
            <w:tcW w:w="1703" w:type="dxa"/>
            <w:shd w:val="clear" w:color="auto" w:fill="FFFFFF"/>
          </w:tcPr>
          <w:p w14:paraId="13AC4ED1" w14:textId="165E5C53"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02 (-0</w:t>
            </w:r>
            <w:r w:rsidR="00D041F0" w:rsidRPr="00DB6D42">
              <w:rPr>
                <w:rFonts w:cs="Arial"/>
                <w:color w:val="000000"/>
                <w:sz w:val="18"/>
                <w:szCs w:val="18"/>
                <w:lang w:val="en-US"/>
              </w:rPr>
              <w:t>·</w:t>
            </w:r>
            <w:r w:rsidRPr="00DB6D42">
              <w:rPr>
                <w:rFonts w:cs="Arial"/>
                <w:color w:val="000000"/>
                <w:sz w:val="18"/>
                <w:szCs w:val="18"/>
                <w:lang w:val="en-US"/>
              </w:rPr>
              <w:t>05;0</w:t>
            </w:r>
            <w:r w:rsidR="00D041F0" w:rsidRPr="00DB6D42">
              <w:rPr>
                <w:rFonts w:cs="Arial"/>
                <w:color w:val="000000"/>
                <w:sz w:val="18"/>
                <w:szCs w:val="18"/>
                <w:lang w:val="en-US"/>
              </w:rPr>
              <w:t>·</w:t>
            </w:r>
            <w:r w:rsidRPr="00DB6D42">
              <w:rPr>
                <w:rFonts w:cs="Arial"/>
                <w:color w:val="000000"/>
                <w:sz w:val="18"/>
                <w:szCs w:val="18"/>
                <w:lang w:val="en-US"/>
              </w:rPr>
              <w:t>09)</w:t>
            </w:r>
          </w:p>
        </w:tc>
      </w:tr>
      <w:tr w:rsidR="0043062B" w:rsidRPr="00DB6D42" w14:paraId="7313FAC8" w14:textId="77777777" w:rsidTr="00DB6D42">
        <w:trPr>
          <w:cantSplit/>
          <w:jc w:val="center"/>
        </w:trPr>
        <w:tc>
          <w:tcPr>
            <w:tcW w:w="5445" w:type="dxa"/>
            <w:shd w:val="clear" w:color="auto" w:fill="FFFFFF"/>
          </w:tcPr>
          <w:p w14:paraId="5F803004" w14:textId="77777777" w:rsidR="0043062B" w:rsidRPr="00DB6D42" w:rsidRDefault="0043062B" w:rsidP="00BB5FF5">
            <w:pPr>
              <w:keepNext/>
              <w:adjustRightInd w:val="0"/>
              <w:spacing w:after="0"/>
              <w:rPr>
                <w:rFonts w:cs="Arial"/>
                <w:color w:val="000000"/>
                <w:sz w:val="18"/>
                <w:szCs w:val="18"/>
                <w:lang w:val="en-US"/>
              </w:rPr>
            </w:pPr>
            <w:r w:rsidRPr="00DB6D42">
              <w:rPr>
                <w:rFonts w:cs="Arial"/>
                <w:color w:val="000000"/>
                <w:sz w:val="18"/>
                <w:szCs w:val="18"/>
                <w:lang w:val="en-US"/>
              </w:rPr>
              <w:t>4 months</w:t>
            </w:r>
          </w:p>
        </w:tc>
        <w:tc>
          <w:tcPr>
            <w:tcW w:w="1703" w:type="dxa"/>
            <w:shd w:val="clear" w:color="auto" w:fill="FFFFFF"/>
          </w:tcPr>
          <w:p w14:paraId="53BEF0A1" w14:textId="47C57762"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01 (-0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05)</w:t>
            </w:r>
          </w:p>
        </w:tc>
        <w:tc>
          <w:tcPr>
            <w:tcW w:w="1703" w:type="dxa"/>
            <w:shd w:val="clear" w:color="auto" w:fill="FFFFFF"/>
          </w:tcPr>
          <w:p w14:paraId="5F222EE5" w14:textId="20E4BA1B"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03 (-0</w:t>
            </w:r>
            <w:r w:rsidR="00D041F0" w:rsidRPr="00DB6D42">
              <w:rPr>
                <w:rFonts w:cs="Arial"/>
                <w:color w:val="000000"/>
                <w:sz w:val="18"/>
                <w:szCs w:val="18"/>
                <w:lang w:val="en-US"/>
              </w:rPr>
              <w:t>·</w:t>
            </w:r>
            <w:r w:rsidRPr="00DB6D42">
              <w:rPr>
                <w:rFonts w:cs="Arial"/>
                <w:color w:val="000000"/>
                <w:sz w:val="18"/>
                <w:szCs w:val="18"/>
                <w:lang w:val="en-US"/>
              </w:rPr>
              <w:t>02;0</w:t>
            </w:r>
            <w:r w:rsidR="00D041F0" w:rsidRPr="00DB6D42">
              <w:rPr>
                <w:rFonts w:cs="Arial"/>
                <w:color w:val="000000"/>
                <w:sz w:val="18"/>
                <w:szCs w:val="18"/>
                <w:lang w:val="en-US"/>
              </w:rPr>
              <w:t>·</w:t>
            </w:r>
            <w:r w:rsidRPr="00DB6D42">
              <w:rPr>
                <w:rFonts w:cs="Arial"/>
                <w:color w:val="000000"/>
                <w:sz w:val="18"/>
                <w:szCs w:val="18"/>
                <w:lang w:val="en-US"/>
              </w:rPr>
              <w:t>09)</w:t>
            </w:r>
          </w:p>
        </w:tc>
        <w:tc>
          <w:tcPr>
            <w:tcW w:w="1703" w:type="dxa"/>
            <w:shd w:val="clear" w:color="auto" w:fill="FFFFFF"/>
          </w:tcPr>
          <w:p w14:paraId="3D6E024D" w14:textId="3B3409FB"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2</w:t>
            </w:r>
            <w:r w:rsidRPr="00DB6D42">
              <w:rPr>
                <w:rFonts w:cs="Arial"/>
                <w:color w:val="000000"/>
                <w:sz w:val="18"/>
                <w:szCs w:val="18"/>
                <w:lang w:val="en-US"/>
              </w:rPr>
              <w:t xml:space="preserve"> (-0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5</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8</w:t>
            </w:r>
            <w:r w:rsidRPr="00DB6D42">
              <w:rPr>
                <w:rFonts w:cs="Arial"/>
                <w:color w:val="000000"/>
                <w:sz w:val="18"/>
                <w:szCs w:val="18"/>
                <w:lang w:val="en-US"/>
              </w:rPr>
              <w:t>)</w:t>
            </w:r>
          </w:p>
        </w:tc>
        <w:tc>
          <w:tcPr>
            <w:tcW w:w="1703" w:type="dxa"/>
            <w:shd w:val="clear" w:color="auto" w:fill="FFFFFF"/>
          </w:tcPr>
          <w:p w14:paraId="405B0828" w14:textId="76C9C7DB"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3</w:t>
            </w:r>
            <w:r w:rsidRPr="00DB6D42">
              <w:rPr>
                <w:rFonts w:cs="Arial"/>
                <w:color w:val="000000"/>
                <w:sz w:val="18"/>
                <w:szCs w:val="18"/>
                <w:lang w:val="en-US"/>
              </w:rPr>
              <w:t xml:space="preserve"> (-0</w:t>
            </w:r>
            <w:r w:rsidR="00D041F0" w:rsidRPr="00DB6D42">
              <w:rPr>
                <w:rFonts w:cs="Arial"/>
                <w:color w:val="000000"/>
                <w:sz w:val="18"/>
                <w:szCs w:val="18"/>
                <w:lang w:val="en-US"/>
              </w:rPr>
              <w:t>·</w:t>
            </w:r>
            <w:r w:rsidRPr="00DB6D42">
              <w:rPr>
                <w:rFonts w:cs="Arial"/>
                <w:color w:val="000000"/>
                <w:sz w:val="18"/>
                <w:szCs w:val="18"/>
                <w:lang w:val="en-US"/>
              </w:rPr>
              <w:t>09;0</w:t>
            </w:r>
            <w:r w:rsidR="00D041F0" w:rsidRPr="00DB6D42">
              <w:rPr>
                <w:rFonts w:cs="Arial"/>
                <w:color w:val="000000"/>
                <w:sz w:val="18"/>
                <w:szCs w:val="18"/>
                <w:lang w:val="en-US"/>
              </w:rPr>
              <w:t>·</w:t>
            </w:r>
            <w:r w:rsidRPr="00DB6D42">
              <w:rPr>
                <w:rFonts w:cs="Arial"/>
                <w:color w:val="000000"/>
                <w:sz w:val="18"/>
                <w:szCs w:val="18"/>
                <w:lang w:val="en-US"/>
              </w:rPr>
              <w:t>03)</w:t>
            </w:r>
          </w:p>
        </w:tc>
        <w:tc>
          <w:tcPr>
            <w:tcW w:w="1703" w:type="dxa"/>
            <w:shd w:val="clear" w:color="auto" w:fill="FFFFFF"/>
          </w:tcPr>
          <w:p w14:paraId="7F54CB9B" w14:textId="7A4D2911"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01 (-0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05)</w:t>
            </w:r>
          </w:p>
        </w:tc>
      </w:tr>
      <w:tr w:rsidR="0043062B" w:rsidRPr="00DB6D42" w14:paraId="7C1C7127" w14:textId="77777777" w:rsidTr="00DB6D42">
        <w:trPr>
          <w:cantSplit/>
          <w:jc w:val="center"/>
        </w:trPr>
        <w:tc>
          <w:tcPr>
            <w:tcW w:w="5445" w:type="dxa"/>
            <w:shd w:val="clear" w:color="auto" w:fill="FFFFFF"/>
          </w:tcPr>
          <w:p w14:paraId="6088C610" w14:textId="77777777" w:rsidR="0043062B" w:rsidRPr="00DB6D42" w:rsidRDefault="0043062B" w:rsidP="00BB5FF5">
            <w:pPr>
              <w:keepNext/>
              <w:adjustRightInd w:val="0"/>
              <w:spacing w:after="0"/>
              <w:rPr>
                <w:rFonts w:cs="Arial"/>
                <w:color w:val="000000"/>
                <w:sz w:val="18"/>
                <w:szCs w:val="18"/>
                <w:lang w:val="en-US"/>
              </w:rPr>
            </w:pPr>
            <w:r w:rsidRPr="00DB6D42">
              <w:rPr>
                <w:rFonts w:cs="Arial"/>
                <w:color w:val="000000"/>
                <w:sz w:val="18"/>
                <w:szCs w:val="18"/>
                <w:lang w:val="en-US"/>
              </w:rPr>
              <w:t>6 months</w:t>
            </w:r>
          </w:p>
        </w:tc>
        <w:tc>
          <w:tcPr>
            <w:tcW w:w="1703" w:type="dxa"/>
            <w:shd w:val="clear" w:color="auto" w:fill="FFFFFF"/>
          </w:tcPr>
          <w:p w14:paraId="7A2333F1" w14:textId="724D2F8B"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02 (-0</w:t>
            </w:r>
            <w:r w:rsidR="00D041F0" w:rsidRPr="00DB6D42">
              <w:rPr>
                <w:rFonts w:cs="Arial"/>
                <w:color w:val="000000"/>
                <w:sz w:val="18"/>
                <w:szCs w:val="18"/>
                <w:lang w:val="en-US"/>
              </w:rPr>
              <w:t>·</w:t>
            </w:r>
            <w:r w:rsidRPr="00DB6D42">
              <w:rPr>
                <w:rFonts w:cs="Arial"/>
                <w:color w:val="000000"/>
                <w:sz w:val="18"/>
                <w:szCs w:val="18"/>
                <w:lang w:val="en-US"/>
              </w:rPr>
              <w:t>09;0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5</w:t>
            </w:r>
            <w:r w:rsidRPr="00DB6D42">
              <w:rPr>
                <w:rFonts w:cs="Arial"/>
                <w:color w:val="000000"/>
                <w:sz w:val="18"/>
                <w:szCs w:val="18"/>
                <w:lang w:val="en-US"/>
              </w:rPr>
              <w:t>)</w:t>
            </w:r>
          </w:p>
        </w:tc>
        <w:tc>
          <w:tcPr>
            <w:tcW w:w="1703" w:type="dxa"/>
            <w:shd w:val="clear" w:color="auto" w:fill="FFFFFF"/>
          </w:tcPr>
          <w:p w14:paraId="338CA67A" w14:textId="15BBD4C2"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02 (-0</w:t>
            </w:r>
            <w:r w:rsidR="00D041F0" w:rsidRPr="00DB6D42">
              <w:rPr>
                <w:rFonts w:cs="Arial"/>
                <w:color w:val="000000"/>
                <w:sz w:val="18"/>
                <w:szCs w:val="18"/>
                <w:lang w:val="en-US"/>
              </w:rPr>
              <w:t>·</w:t>
            </w:r>
            <w:r w:rsidRPr="00DB6D42">
              <w:rPr>
                <w:rFonts w:cs="Arial"/>
                <w:color w:val="000000"/>
                <w:sz w:val="18"/>
                <w:szCs w:val="18"/>
                <w:lang w:val="en-US"/>
              </w:rPr>
              <w:t>04;0</w:t>
            </w:r>
            <w:r w:rsidR="00D041F0" w:rsidRPr="00DB6D42">
              <w:rPr>
                <w:rFonts w:cs="Arial"/>
                <w:color w:val="000000"/>
                <w:sz w:val="18"/>
                <w:szCs w:val="18"/>
                <w:lang w:val="en-US"/>
              </w:rPr>
              <w:t>·</w:t>
            </w:r>
            <w:r w:rsidRPr="00DB6D42">
              <w:rPr>
                <w:rFonts w:cs="Arial"/>
                <w:color w:val="000000"/>
                <w:sz w:val="18"/>
                <w:szCs w:val="18"/>
                <w:lang w:val="en-US"/>
              </w:rPr>
              <w:t>09)</w:t>
            </w:r>
          </w:p>
        </w:tc>
        <w:tc>
          <w:tcPr>
            <w:tcW w:w="1703" w:type="dxa"/>
            <w:shd w:val="clear" w:color="auto" w:fill="FFFFFF"/>
          </w:tcPr>
          <w:p w14:paraId="35DB6EF6" w14:textId="7515107E"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02 (-0</w:t>
            </w:r>
            <w:r w:rsidR="00D041F0" w:rsidRPr="00DB6D42">
              <w:rPr>
                <w:rFonts w:cs="Arial"/>
                <w:color w:val="000000"/>
                <w:sz w:val="18"/>
                <w:szCs w:val="18"/>
                <w:lang w:val="en-US"/>
              </w:rPr>
              <w:t>·</w:t>
            </w:r>
            <w:r w:rsidRPr="00DB6D42">
              <w:rPr>
                <w:rFonts w:cs="Arial"/>
                <w:color w:val="000000"/>
                <w:sz w:val="18"/>
                <w:szCs w:val="18"/>
                <w:lang w:val="en-US"/>
              </w:rPr>
              <w:t>09;0</w:t>
            </w:r>
            <w:r w:rsidR="00D041F0" w:rsidRPr="00DB6D42">
              <w:rPr>
                <w:rFonts w:cs="Arial"/>
                <w:color w:val="000000"/>
                <w:sz w:val="18"/>
                <w:szCs w:val="18"/>
                <w:lang w:val="en-US"/>
              </w:rPr>
              <w:t>·</w:t>
            </w:r>
            <w:r w:rsidRPr="00DB6D42">
              <w:rPr>
                <w:rFonts w:cs="Arial"/>
                <w:color w:val="000000"/>
                <w:sz w:val="18"/>
                <w:szCs w:val="18"/>
                <w:lang w:val="en-US"/>
              </w:rPr>
              <w:t>05)</w:t>
            </w:r>
          </w:p>
        </w:tc>
        <w:tc>
          <w:tcPr>
            <w:tcW w:w="1703" w:type="dxa"/>
            <w:shd w:val="clear" w:color="auto" w:fill="FFFFFF"/>
          </w:tcPr>
          <w:p w14:paraId="3E3CA8A3" w14:textId="26E13204"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05 (-0</w:t>
            </w:r>
            <w:r w:rsidR="00D041F0" w:rsidRPr="00DB6D42">
              <w:rPr>
                <w:rFonts w:cs="Arial"/>
                <w:color w:val="000000"/>
                <w:sz w:val="18"/>
                <w:szCs w:val="18"/>
                <w:lang w:val="en-US"/>
              </w:rPr>
              <w:t>·</w:t>
            </w:r>
            <w:r w:rsidRPr="00DB6D42">
              <w:rPr>
                <w:rFonts w:cs="Arial"/>
                <w:color w:val="000000"/>
                <w:sz w:val="18"/>
                <w:szCs w:val="18"/>
                <w:lang w:val="en-US"/>
              </w:rPr>
              <w:t>1</w:t>
            </w:r>
            <w:r w:rsidR="001024A1" w:rsidRPr="00DB6D42">
              <w:rPr>
                <w:rFonts w:cs="Arial"/>
                <w:color w:val="000000"/>
                <w:sz w:val="18"/>
                <w:szCs w:val="18"/>
                <w:lang w:val="en-US"/>
              </w:rPr>
              <w:t>3</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02)</w:t>
            </w:r>
          </w:p>
        </w:tc>
        <w:tc>
          <w:tcPr>
            <w:tcW w:w="1703" w:type="dxa"/>
            <w:shd w:val="clear" w:color="auto" w:fill="FFFFFF"/>
          </w:tcPr>
          <w:p w14:paraId="381E43D1" w14:textId="16A9BD49"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2</w:t>
            </w:r>
            <w:r w:rsidRPr="00DB6D42">
              <w:rPr>
                <w:rFonts w:cs="Arial"/>
                <w:color w:val="000000"/>
                <w:sz w:val="18"/>
                <w:szCs w:val="18"/>
                <w:lang w:val="en-US"/>
              </w:rPr>
              <w:t xml:space="preserve"> </w:t>
            </w:r>
            <w:r w:rsidR="001024A1" w:rsidRPr="00DB6D42">
              <w:rPr>
                <w:rFonts w:cs="Arial"/>
                <w:color w:val="000000"/>
                <w:sz w:val="18"/>
                <w:szCs w:val="18"/>
                <w:lang w:val="en-US"/>
              </w:rPr>
              <w:t>(-0</w:t>
            </w:r>
            <w:r w:rsidR="00D041F0" w:rsidRPr="00DB6D42">
              <w:rPr>
                <w:rFonts w:cs="Arial"/>
                <w:color w:val="000000"/>
                <w:sz w:val="18"/>
                <w:szCs w:val="18"/>
                <w:lang w:val="en-US"/>
              </w:rPr>
              <w:t>·</w:t>
            </w:r>
            <w:r w:rsidR="001024A1" w:rsidRPr="00DB6D42">
              <w:rPr>
                <w:rFonts w:cs="Arial"/>
                <w:color w:val="000000"/>
                <w:sz w:val="18"/>
                <w:szCs w:val="18"/>
                <w:lang w:val="en-US"/>
              </w:rPr>
              <w:t>05</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09)</w:t>
            </w:r>
          </w:p>
        </w:tc>
      </w:tr>
      <w:tr w:rsidR="0043062B" w:rsidRPr="00DB6D42" w14:paraId="7082F3C1" w14:textId="77777777" w:rsidTr="00DB6D42">
        <w:trPr>
          <w:cantSplit/>
          <w:jc w:val="center"/>
        </w:trPr>
        <w:tc>
          <w:tcPr>
            <w:tcW w:w="5445" w:type="dxa"/>
            <w:shd w:val="clear" w:color="auto" w:fill="FFFFFF"/>
          </w:tcPr>
          <w:p w14:paraId="6A2DE944" w14:textId="77777777" w:rsidR="0043062B" w:rsidRPr="00DB6D42" w:rsidRDefault="0043062B" w:rsidP="00BB5FF5">
            <w:pPr>
              <w:keepNext/>
              <w:adjustRightInd w:val="0"/>
              <w:spacing w:after="0"/>
              <w:rPr>
                <w:rFonts w:cs="Arial"/>
                <w:color w:val="000000"/>
                <w:sz w:val="18"/>
                <w:szCs w:val="18"/>
                <w:lang w:val="en-US"/>
              </w:rPr>
            </w:pPr>
            <w:r w:rsidRPr="00DB6D42">
              <w:rPr>
                <w:rFonts w:cs="Arial"/>
                <w:color w:val="000000"/>
                <w:sz w:val="18"/>
                <w:szCs w:val="18"/>
                <w:lang w:val="en-US"/>
              </w:rPr>
              <w:t>12 months</w:t>
            </w:r>
          </w:p>
        </w:tc>
        <w:tc>
          <w:tcPr>
            <w:tcW w:w="1703" w:type="dxa"/>
            <w:shd w:val="clear" w:color="auto" w:fill="FFFFFF"/>
          </w:tcPr>
          <w:p w14:paraId="7E5AB888" w14:textId="17AA8F00"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2</w:t>
            </w:r>
            <w:r w:rsidRPr="00DB6D42">
              <w:rPr>
                <w:rFonts w:cs="Arial"/>
                <w:color w:val="000000"/>
                <w:sz w:val="18"/>
                <w:szCs w:val="18"/>
                <w:lang w:val="en-US"/>
              </w:rPr>
              <w:t xml:space="preserve"> (-0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8</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5</w:t>
            </w:r>
            <w:r w:rsidRPr="00DB6D42">
              <w:rPr>
                <w:rFonts w:cs="Arial"/>
                <w:color w:val="000000"/>
                <w:sz w:val="18"/>
                <w:szCs w:val="18"/>
                <w:lang w:val="en-US"/>
              </w:rPr>
              <w:t>)</w:t>
            </w:r>
          </w:p>
        </w:tc>
        <w:tc>
          <w:tcPr>
            <w:tcW w:w="1703" w:type="dxa"/>
            <w:shd w:val="clear" w:color="auto" w:fill="FFFFFF"/>
          </w:tcPr>
          <w:p w14:paraId="796629A5" w14:textId="0D67E177"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02 (-0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9</w:t>
            </w: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4</w:t>
            </w:r>
            <w:r w:rsidRPr="00DB6D42">
              <w:rPr>
                <w:rFonts w:cs="Arial"/>
                <w:color w:val="000000"/>
                <w:sz w:val="18"/>
                <w:szCs w:val="18"/>
                <w:lang w:val="en-US"/>
              </w:rPr>
              <w:t>)</w:t>
            </w:r>
          </w:p>
        </w:tc>
        <w:tc>
          <w:tcPr>
            <w:tcW w:w="1703" w:type="dxa"/>
            <w:shd w:val="clear" w:color="auto" w:fill="FFFFFF"/>
          </w:tcPr>
          <w:p w14:paraId="5F58A30A" w14:textId="01870439"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w:t>
            </w:r>
            <w:r w:rsidR="001024A1" w:rsidRPr="00DB6D42">
              <w:rPr>
                <w:rFonts w:cs="Arial"/>
                <w:color w:val="000000"/>
                <w:sz w:val="18"/>
                <w:szCs w:val="18"/>
                <w:lang w:val="en-US"/>
              </w:rPr>
              <w:t>3</w:t>
            </w:r>
            <w:r w:rsidRPr="00DB6D42">
              <w:rPr>
                <w:rFonts w:cs="Arial"/>
                <w:color w:val="000000"/>
                <w:sz w:val="18"/>
                <w:szCs w:val="18"/>
                <w:lang w:val="en-US"/>
              </w:rPr>
              <w:t xml:space="preserve"> (-0</w:t>
            </w:r>
            <w:r w:rsidR="00D041F0" w:rsidRPr="00DB6D42">
              <w:rPr>
                <w:rFonts w:cs="Arial"/>
                <w:color w:val="000000"/>
                <w:sz w:val="18"/>
                <w:szCs w:val="18"/>
                <w:lang w:val="en-US"/>
              </w:rPr>
              <w:t>·</w:t>
            </w:r>
            <w:r w:rsidRPr="00DB6D42">
              <w:rPr>
                <w:rFonts w:cs="Arial"/>
                <w:color w:val="000000"/>
                <w:sz w:val="18"/>
                <w:szCs w:val="18"/>
                <w:lang w:val="en-US"/>
              </w:rPr>
              <w:t>03;0</w:t>
            </w:r>
            <w:r w:rsidR="00D041F0" w:rsidRPr="00DB6D42">
              <w:rPr>
                <w:rFonts w:cs="Arial"/>
                <w:color w:val="000000"/>
                <w:sz w:val="18"/>
                <w:szCs w:val="18"/>
                <w:lang w:val="en-US"/>
              </w:rPr>
              <w:t>·</w:t>
            </w:r>
            <w:r w:rsidRPr="00DB6D42">
              <w:rPr>
                <w:rFonts w:cs="Arial"/>
                <w:color w:val="000000"/>
                <w:sz w:val="18"/>
                <w:szCs w:val="18"/>
                <w:lang w:val="en-US"/>
              </w:rPr>
              <w:t>09)</w:t>
            </w:r>
          </w:p>
        </w:tc>
        <w:tc>
          <w:tcPr>
            <w:tcW w:w="1703" w:type="dxa"/>
            <w:shd w:val="clear" w:color="auto" w:fill="FFFFFF"/>
          </w:tcPr>
          <w:p w14:paraId="66739976" w14:textId="0AF098B7"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04 (-0</w:t>
            </w:r>
            <w:r w:rsidR="00D041F0" w:rsidRPr="00DB6D42">
              <w:rPr>
                <w:rFonts w:cs="Arial"/>
                <w:color w:val="000000"/>
                <w:sz w:val="18"/>
                <w:szCs w:val="18"/>
                <w:lang w:val="en-US"/>
              </w:rPr>
              <w:t>·</w:t>
            </w:r>
            <w:r w:rsidRPr="00DB6D42">
              <w:rPr>
                <w:rFonts w:cs="Arial"/>
                <w:color w:val="000000"/>
                <w:sz w:val="18"/>
                <w:szCs w:val="18"/>
                <w:lang w:val="en-US"/>
              </w:rPr>
              <w:t>02;0</w:t>
            </w:r>
            <w:r w:rsidR="00D041F0" w:rsidRPr="00DB6D42">
              <w:rPr>
                <w:rFonts w:cs="Arial"/>
                <w:color w:val="000000"/>
                <w:sz w:val="18"/>
                <w:szCs w:val="18"/>
                <w:lang w:val="en-US"/>
              </w:rPr>
              <w:t>·</w:t>
            </w:r>
            <w:r w:rsidRPr="00DB6D42">
              <w:rPr>
                <w:rFonts w:cs="Arial"/>
                <w:color w:val="000000"/>
                <w:sz w:val="18"/>
                <w:szCs w:val="18"/>
                <w:lang w:val="en-US"/>
              </w:rPr>
              <w:t>11)</w:t>
            </w:r>
          </w:p>
        </w:tc>
        <w:tc>
          <w:tcPr>
            <w:tcW w:w="1703" w:type="dxa"/>
            <w:shd w:val="clear" w:color="auto" w:fill="FFFFFF"/>
          </w:tcPr>
          <w:p w14:paraId="7BD3341B" w14:textId="3503A4D4"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01 (-0</w:t>
            </w:r>
            <w:r w:rsidR="00D041F0" w:rsidRPr="00DB6D42">
              <w:rPr>
                <w:rFonts w:cs="Arial"/>
                <w:color w:val="000000"/>
                <w:sz w:val="18"/>
                <w:szCs w:val="18"/>
                <w:lang w:val="en-US"/>
              </w:rPr>
              <w:t>·</w:t>
            </w:r>
            <w:r w:rsidRPr="00DB6D42">
              <w:rPr>
                <w:rFonts w:cs="Arial"/>
                <w:color w:val="000000"/>
                <w:sz w:val="18"/>
                <w:szCs w:val="18"/>
                <w:lang w:val="en-US"/>
              </w:rPr>
              <w:t>07;0</w:t>
            </w:r>
            <w:r w:rsidR="00D041F0" w:rsidRPr="00DB6D42">
              <w:rPr>
                <w:rFonts w:cs="Arial"/>
                <w:color w:val="000000"/>
                <w:sz w:val="18"/>
                <w:szCs w:val="18"/>
                <w:lang w:val="en-US"/>
              </w:rPr>
              <w:t>·</w:t>
            </w:r>
            <w:r w:rsidRPr="00DB6D42">
              <w:rPr>
                <w:rFonts w:cs="Arial"/>
                <w:color w:val="000000"/>
                <w:sz w:val="18"/>
                <w:szCs w:val="18"/>
                <w:lang w:val="en-US"/>
              </w:rPr>
              <w:t>05)</w:t>
            </w:r>
          </w:p>
        </w:tc>
      </w:tr>
      <w:tr w:rsidR="0043062B" w:rsidRPr="00DB6D42" w14:paraId="2ADB67AC" w14:textId="77777777" w:rsidTr="00DB6D42">
        <w:trPr>
          <w:cantSplit/>
          <w:jc w:val="center"/>
        </w:trPr>
        <w:tc>
          <w:tcPr>
            <w:tcW w:w="5445" w:type="dxa"/>
            <w:shd w:val="clear" w:color="auto" w:fill="FFFFFF"/>
          </w:tcPr>
          <w:p w14:paraId="6ACE2E5E" w14:textId="77777777" w:rsidR="0043062B" w:rsidRPr="00DB6D42" w:rsidRDefault="0043062B" w:rsidP="00BB5FF5">
            <w:pPr>
              <w:keepNext/>
              <w:adjustRightInd w:val="0"/>
              <w:spacing w:after="0"/>
              <w:rPr>
                <w:rFonts w:cs="Arial"/>
                <w:color w:val="000000"/>
                <w:sz w:val="18"/>
                <w:szCs w:val="18"/>
                <w:lang w:val="en-US"/>
              </w:rPr>
            </w:pPr>
            <w:r w:rsidRPr="00DB6D42">
              <w:rPr>
                <w:rFonts w:cs="Arial"/>
                <w:color w:val="000000"/>
                <w:sz w:val="18"/>
                <w:szCs w:val="18"/>
                <w:lang w:val="en-US"/>
              </w:rPr>
              <w:t>p-value for comparison against placebo at 12 months</w:t>
            </w:r>
            <w:r w:rsidR="002E01FE" w:rsidRPr="00DB6D42">
              <w:rPr>
                <w:rFonts w:cs="Arial"/>
                <w:color w:val="000000"/>
                <w:sz w:val="18"/>
                <w:szCs w:val="18"/>
                <w:lang w:val="en-US"/>
              </w:rPr>
              <w:t>*</w:t>
            </w:r>
          </w:p>
        </w:tc>
        <w:tc>
          <w:tcPr>
            <w:tcW w:w="1703" w:type="dxa"/>
            <w:shd w:val="clear" w:color="auto" w:fill="FFFFFF"/>
          </w:tcPr>
          <w:p w14:paraId="02D5C4B6" w14:textId="77777777" w:rsidR="0043062B" w:rsidRPr="00DB6D42" w:rsidRDefault="0043062B" w:rsidP="00BB5FF5">
            <w:pPr>
              <w:keepNext/>
              <w:adjustRightInd w:val="0"/>
              <w:spacing w:after="0"/>
              <w:jc w:val="center"/>
              <w:rPr>
                <w:rFonts w:cs="Arial"/>
                <w:color w:val="000000"/>
                <w:sz w:val="18"/>
                <w:szCs w:val="18"/>
                <w:lang w:val="en-US"/>
              </w:rPr>
            </w:pPr>
          </w:p>
        </w:tc>
        <w:tc>
          <w:tcPr>
            <w:tcW w:w="1703" w:type="dxa"/>
            <w:shd w:val="clear" w:color="auto" w:fill="FFFFFF"/>
          </w:tcPr>
          <w:p w14:paraId="5DE837A2" w14:textId="67D725E4"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835</w:t>
            </w:r>
          </w:p>
        </w:tc>
        <w:tc>
          <w:tcPr>
            <w:tcW w:w="1703" w:type="dxa"/>
            <w:shd w:val="clear" w:color="auto" w:fill="FFFFFF"/>
          </w:tcPr>
          <w:p w14:paraId="30AB2091" w14:textId="43D5839B"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321</w:t>
            </w:r>
          </w:p>
        </w:tc>
        <w:tc>
          <w:tcPr>
            <w:tcW w:w="1703" w:type="dxa"/>
            <w:shd w:val="clear" w:color="auto" w:fill="FFFFFF"/>
          </w:tcPr>
          <w:p w14:paraId="300D1592" w14:textId="71269ABC"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192</w:t>
            </w:r>
          </w:p>
        </w:tc>
        <w:tc>
          <w:tcPr>
            <w:tcW w:w="1703" w:type="dxa"/>
            <w:shd w:val="clear" w:color="auto" w:fill="FFFFFF"/>
          </w:tcPr>
          <w:p w14:paraId="0101530A" w14:textId="710B1ECC" w:rsidR="0043062B" w:rsidRPr="00DB6D42" w:rsidRDefault="0043062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w:t>
            </w:r>
            <w:r w:rsidR="00D041F0" w:rsidRPr="00DB6D42">
              <w:rPr>
                <w:rFonts w:cs="Arial"/>
                <w:color w:val="000000"/>
                <w:sz w:val="18"/>
                <w:szCs w:val="18"/>
                <w:lang w:val="en-US"/>
              </w:rPr>
              <w:t>·</w:t>
            </w:r>
            <w:r w:rsidRPr="00DB6D42">
              <w:rPr>
                <w:rFonts w:cs="Arial"/>
                <w:color w:val="000000"/>
                <w:sz w:val="18"/>
                <w:szCs w:val="18"/>
                <w:lang w:val="en-US"/>
              </w:rPr>
              <w:t>894</w:t>
            </w:r>
          </w:p>
        </w:tc>
      </w:tr>
      <w:tr w:rsidR="001F13A8" w:rsidRPr="00DB6D42" w14:paraId="38FBA0DD" w14:textId="77777777" w:rsidTr="00DB6D42">
        <w:trPr>
          <w:cantSplit/>
          <w:trHeight w:val="273"/>
          <w:jc w:val="center"/>
        </w:trPr>
        <w:tc>
          <w:tcPr>
            <w:tcW w:w="5445" w:type="dxa"/>
            <w:shd w:val="clear" w:color="auto" w:fill="FFFFFF"/>
          </w:tcPr>
          <w:p w14:paraId="01C68242" w14:textId="77777777" w:rsidR="001F13A8" w:rsidRPr="00DB6D42" w:rsidRDefault="001F13A8" w:rsidP="00BB5FF5">
            <w:pPr>
              <w:keepNext/>
              <w:adjustRightInd w:val="0"/>
              <w:spacing w:after="0"/>
              <w:rPr>
                <w:rFonts w:cs="Arial"/>
                <w:color w:val="000000"/>
                <w:sz w:val="18"/>
                <w:szCs w:val="18"/>
                <w:lang w:val="en-US"/>
              </w:rPr>
            </w:pPr>
          </w:p>
        </w:tc>
        <w:tc>
          <w:tcPr>
            <w:tcW w:w="1703" w:type="dxa"/>
            <w:shd w:val="clear" w:color="auto" w:fill="FFFFFF"/>
          </w:tcPr>
          <w:p w14:paraId="377FDECA" w14:textId="77777777" w:rsidR="001F13A8" w:rsidRPr="00DB6D42" w:rsidRDefault="001F13A8" w:rsidP="00BB5FF5">
            <w:pPr>
              <w:keepNext/>
              <w:adjustRightInd w:val="0"/>
              <w:spacing w:after="0"/>
              <w:jc w:val="center"/>
              <w:rPr>
                <w:rFonts w:cs="Arial"/>
                <w:color w:val="000000"/>
                <w:sz w:val="18"/>
                <w:szCs w:val="18"/>
                <w:lang w:val="en-US"/>
              </w:rPr>
            </w:pPr>
          </w:p>
        </w:tc>
        <w:tc>
          <w:tcPr>
            <w:tcW w:w="1703" w:type="dxa"/>
            <w:shd w:val="clear" w:color="auto" w:fill="FFFFFF"/>
          </w:tcPr>
          <w:p w14:paraId="3F92C9CC" w14:textId="77777777" w:rsidR="001F13A8" w:rsidRPr="00DB6D42" w:rsidRDefault="001F13A8" w:rsidP="00BB5FF5">
            <w:pPr>
              <w:keepNext/>
              <w:adjustRightInd w:val="0"/>
              <w:spacing w:after="0"/>
              <w:jc w:val="center"/>
              <w:rPr>
                <w:rFonts w:cs="Arial"/>
                <w:color w:val="000000"/>
                <w:sz w:val="18"/>
                <w:szCs w:val="18"/>
                <w:lang w:val="en-US"/>
              </w:rPr>
            </w:pPr>
          </w:p>
        </w:tc>
        <w:tc>
          <w:tcPr>
            <w:tcW w:w="1703" w:type="dxa"/>
            <w:shd w:val="clear" w:color="auto" w:fill="FFFFFF"/>
          </w:tcPr>
          <w:p w14:paraId="7D545C7D" w14:textId="77777777" w:rsidR="001F13A8" w:rsidRPr="00DB6D42" w:rsidRDefault="001F13A8" w:rsidP="00BB5FF5">
            <w:pPr>
              <w:keepNext/>
              <w:adjustRightInd w:val="0"/>
              <w:spacing w:after="0"/>
              <w:jc w:val="center"/>
              <w:rPr>
                <w:rFonts w:cs="Arial"/>
                <w:color w:val="000000"/>
                <w:sz w:val="18"/>
                <w:szCs w:val="18"/>
                <w:lang w:val="en-US"/>
              </w:rPr>
            </w:pPr>
          </w:p>
        </w:tc>
        <w:tc>
          <w:tcPr>
            <w:tcW w:w="1703" w:type="dxa"/>
            <w:shd w:val="clear" w:color="auto" w:fill="FFFFFF"/>
          </w:tcPr>
          <w:p w14:paraId="286D2F42" w14:textId="77777777" w:rsidR="001F13A8" w:rsidRPr="00DB6D42" w:rsidRDefault="001F13A8" w:rsidP="00BB5FF5">
            <w:pPr>
              <w:keepNext/>
              <w:adjustRightInd w:val="0"/>
              <w:spacing w:after="0"/>
              <w:jc w:val="center"/>
              <w:rPr>
                <w:rFonts w:cs="Arial"/>
                <w:color w:val="000000"/>
                <w:sz w:val="18"/>
                <w:szCs w:val="18"/>
                <w:lang w:val="en-US"/>
              </w:rPr>
            </w:pPr>
          </w:p>
        </w:tc>
        <w:tc>
          <w:tcPr>
            <w:tcW w:w="1703" w:type="dxa"/>
            <w:shd w:val="clear" w:color="auto" w:fill="FFFFFF"/>
          </w:tcPr>
          <w:p w14:paraId="7FBAB696" w14:textId="77777777" w:rsidR="001F13A8" w:rsidRPr="00DB6D42" w:rsidRDefault="001F13A8" w:rsidP="00BB5FF5">
            <w:pPr>
              <w:keepNext/>
              <w:adjustRightInd w:val="0"/>
              <w:spacing w:after="0"/>
              <w:jc w:val="center"/>
              <w:rPr>
                <w:rFonts w:cs="Arial"/>
                <w:color w:val="000000"/>
                <w:sz w:val="18"/>
                <w:szCs w:val="18"/>
                <w:lang w:val="en-US"/>
              </w:rPr>
            </w:pPr>
          </w:p>
        </w:tc>
      </w:tr>
      <w:tr w:rsidR="001F13A8" w:rsidRPr="00DB6D42" w14:paraId="2C5B4A11" w14:textId="77777777" w:rsidTr="00DB6D42">
        <w:trPr>
          <w:cantSplit/>
          <w:jc w:val="center"/>
        </w:trPr>
        <w:tc>
          <w:tcPr>
            <w:tcW w:w="5445" w:type="dxa"/>
            <w:shd w:val="clear" w:color="auto" w:fill="FFFFFF"/>
          </w:tcPr>
          <w:p w14:paraId="380789D1" w14:textId="32DFD41A" w:rsidR="005B5BCD" w:rsidRPr="00DB6D42" w:rsidRDefault="005B5BCD" w:rsidP="005B5BCD">
            <w:pPr>
              <w:autoSpaceDE w:val="0"/>
              <w:autoSpaceDN w:val="0"/>
              <w:adjustRightInd w:val="0"/>
              <w:spacing w:after="0"/>
              <w:rPr>
                <w:rFonts w:cs="Arial"/>
                <w:color w:val="000000"/>
                <w:sz w:val="18"/>
                <w:szCs w:val="18"/>
                <w:lang w:val="en-US"/>
              </w:rPr>
            </w:pPr>
            <w:r w:rsidRPr="00DB6D42">
              <w:rPr>
                <w:rFonts w:cs="Arial"/>
                <w:color w:val="000000"/>
                <w:sz w:val="18"/>
                <w:szCs w:val="18"/>
                <w:lang w:val="en-US"/>
              </w:rPr>
              <w:t xml:space="preserve">Estimate of geo. mean (95% CI) </w:t>
            </w:r>
          </w:p>
          <w:p w14:paraId="7822FE41" w14:textId="6CB4D0A2" w:rsidR="005B5BCD" w:rsidRPr="00DB6D42" w:rsidRDefault="005B5BCD" w:rsidP="005B5BCD">
            <w:pPr>
              <w:autoSpaceDE w:val="0"/>
              <w:autoSpaceDN w:val="0"/>
              <w:adjustRightInd w:val="0"/>
              <w:spacing w:after="0"/>
              <w:rPr>
                <w:rFonts w:cs="Arial"/>
                <w:color w:val="000000"/>
                <w:sz w:val="18"/>
                <w:szCs w:val="18"/>
                <w:lang w:val="en-US"/>
              </w:rPr>
            </w:pPr>
            <w:r w:rsidRPr="00DB6D42">
              <w:rPr>
                <w:rFonts w:cs="Arial"/>
                <w:color w:val="000000"/>
                <w:sz w:val="18"/>
                <w:szCs w:val="18"/>
                <w:lang w:val="en-US"/>
              </w:rPr>
              <w:t>Estimate of geo. mean ratio:</w:t>
            </w:r>
            <w:r w:rsidR="004640DB" w:rsidRPr="00DB6D42">
              <w:rPr>
                <w:rFonts w:cs="Arial"/>
                <w:color w:val="000000"/>
                <w:sz w:val="18"/>
                <w:szCs w:val="18"/>
                <w:lang w:val="en-US"/>
              </w:rPr>
              <w:t xml:space="preserve"> </w:t>
            </w:r>
            <w:proofErr w:type="spellStart"/>
            <w:r w:rsidRPr="00DB6D42">
              <w:rPr>
                <w:rFonts w:cs="Arial"/>
                <w:color w:val="000000"/>
                <w:sz w:val="18"/>
                <w:szCs w:val="18"/>
                <w:lang w:val="en-US"/>
              </w:rPr>
              <w:t>treament</w:t>
            </w:r>
            <w:proofErr w:type="spellEnd"/>
            <w:r w:rsidRPr="00DB6D42">
              <w:rPr>
                <w:rFonts w:cs="Arial"/>
                <w:color w:val="000000"/>
                <w:sz w:val="18"/>
                <w:szCs w:val="18"/>
                <w:lang w:val="en-US"/>
              </w:rPr>
              <w:t>/placebo (95% CI)</w:t>
            </w:r>
          </w:p>
          <w:p w14:paraId="79E12FA0" w14:textId="127C28DF" w:rsidR="005B5BCD" w:rsidRPr="00DB6D42" w:rsidRDefault="004640DB" w:rsidP="00DB6D42">
            <w:pPr>
              <w:autoSpaceDE w:val="0"/>
              <w:autoSpaceDN w:val="0"/>
              <w:adjustRightInd w:val="0"/>
              <w:spacing w:after="0"/>
              <w:rPr>
                <w:rFonts w:cs="Arial"/>
                <w:color w:val="000000"/>
                <w:sz w:val="18"/>
                <w:szCs w:val="18"/>
                <w:lang w:val="en-US"/>
              </w:rPr>
            </w:pPr>
            <w:r w:rsidRPr="00DB6D42">
              <w:rPr>
                <w:rFonts w:cs="Arial"/>
                <w:color w:val="000000"/>
                <w:sz w:val="18"/>
                <w:szCs w:val="18"/>
                <w:lang w:val="en-US"/>
              </w:rPr>
              <w:t>p-value for ratio to placebo*</w:t>
            </w:r>
          </w:p>
        </w:tc>
        <w:tc>
          <w:tcPr>
            <w:tcW w:w="1703" w:type="dxa"/>
            <w:shd w:val="clear" w:color="auto" w:fill="FFFFFF"/>
          </w:tcPr>
          <w:p w14:paraId="08E83B53" w14:textId="61C33D0D" w:rsidR="005B5BCD" w:rsidRPr="00DB6D42" w:rsidRDefault="005B5BCD" w:rsidP="005B5BCD">
            <w:pPr>
              <w:autoSpaceDE w:val="0"/>
              <w:autoSpaceDN w:val="0"/>
              <w:adjustRightInd w:val="0"/>
              <w:spacing w:after="0"/>
              <w:rPr>
                <w:rFonts w:cs="Arial"/>
                <w:color w:val="000000"/>
                <w:sz w:val="18"/>
                <w:szCs w:val="18"/>
                <w:lang w:val="en-US"/>
              </w:rPr>
            </w:pPr>
            <w:r w:rsidRPr="00DB6D42">
              <w:rPr>
                <w:rFonts w:cs="Arial"/>
                <w:color w:val="000000"/>
                <w:sz w:val="18"/>
                <w:szCs w:val="18"/>
                <w:lang w:val="en-US"/>
              </w:rPr>
              <w:t xml:space="preserve">  </w:t>
            </w:r>
            <w:r w:rsidR="004640DB" w:rsidRPr="00DB6D42">
              <w:rPr>
                <w:rFonts w:cs="Arial"/>
                <w:color w:val="000000"/>
                <w:sz w:val="18"/>
                <w:szCs w:val="18"/>
                <w:lang w:val="en-US"/>
              </w:rPr>
              <w:t xml:space="preserve"> </w:t>
            </w:r>
            <w:r w:rsidRPr="00DB6D42">
              <w:rPr>
                <w:rFonts w:cs="Arial"/>
                <w:color w:val="000000"/>
                <w:sz w:val="18"/>
                <w:szCs w:val="18"/>
                <w:lang w:val="en-US"/>
              </w:rPr>
              <w:t>3</w:t>
            </w:r>
            <w:r w:rsidR="004640DB" w:rsidRPr="00DB6D42">
              <w:rPr>
                <w:rFonts w:cs="Arial"/>
                <w:color w:val="000000"/>
                <w:sz w:val="18"/>
                <w:szCs w:val="18"/>
                <w:lang w:val="en-US"/>
              </w:rPr>
              <w:t>·</w:t>
            </w:r>
            <w:r w:rsidRPr="00DB6D42">
              <w:rPr>
                <w:rFonts w:cs="Arial"/>
                <w:color w:val="000000"/>
                <w:sz w:val="18"/>
                <w:szCs w:val="18"/>
                <w:lang w:val="en-US"/>
              </w:rPr>
              <w:t xml:space="preserve">01 </w:t>
            </w:r>
            <w:r w:rsidR="004640DB" w:rsidRPr="00DB6D42">
              <w:rPr>
                <w:rFonts w:cs="Arial"/>
                <w:color w:val="000000"/>
                <w:sz w:val="18"/>
                <w:szCs w:val="18"/>
                <w:lang w:val="en-US"/>
              </w:rPr>
              <w:t>(</w:t>
            </w:r>
            <w:r w:rsidRPr="00DB6D42">
              <w:rPr>
                <w:rFonts w:cs="Arial"/>
                <w:color w:val="000000"/>
                <w:sz w:val="18"/>
                <w:szCs w:val="18"/>
                <w:lang w:val="en-US"/>
              </w:rPr>
              <w:t>2</w:t>
            </w:r>
            <w:r w:rsidR="004640DB" w:rsidRPr="00DB6D42">
              <w:rPr>
                <w:rFonts w:cs="Arial"/>
                <w:color w:val="000000"/>
                <w:sz w:val="18"/>
                <w:szCs w:val="18"/>
                <w:lang w:val="en-US"/>
              </w:rPr>
              <w:t>·</w:t>
            </w:r>
            <w:r w:rsidRPr="00DB6D42">
              <w:rPr>
                <w:rFonts w:cs="Arial"/>
                <w:color w:val="000000"/>
                <w:sz w:val="18"/>
                <w:szCs w:val="18"/>
                <w:lang w:val="en-US"/>
              </w:rPr>
              <w:t>60</w:t>
            </w:r>
            <w:r w:rsidR="004640DB" w:rsidRPr="00DB6D42">
              <w:rPr>
                <w:rFonts w:cs="Arial"/>
                <w:color w:val="000000"/>
                <w:sz w:val="18"/>
                <w:szCs w:val="18"/>
                <w:lang w:val="en-US"/>
              </w:rPr>
              <w:t>, 3·</w:t>
            </w:r>
            <w:r w:rsidRPr="00DB6D42">
              <w:rPr>
                <w:rFonts w:cs="Arial"/>
                <w:color w:val="000000"/>
                <w:sz w:val="18"/>
                <w:szCs w:val="18"/>
                <w:lang w:val="en-US"/>
              </w:rPr>
              <w:t>47)</w:t>
            </w:r>
          </w:p>
          <w:p w14:paraId="4EED07DB" w14:textId="77777777" w:rsidR="001F13A8" w:rsidRPr="00DB6D42" w:rsidRDefault="001F13A8" w:rsidP="00BB5FF5">
            <w:pPr>
              <w:keepNext/>
              <w:adjustRightInd w:val="0"/>
              <w:spacing w:after="0"/>
              <w:jc w:val="center"/>
              <w:rPr>
                <w:rFonts w:cs="Arial"/>
                <w:color w:val="000000"/>
                <w:sz w:val="18"/>
                <w:szCs w:val="18"/>
                <w:lang w:val="en-US"/>
              </w:rPr>
            </w:pPr>
          </w:p>
        </w:tc>
        <w:tc>
          <w:tcPr>
            <w:tcW w:w="1703" w:type="dxa"/>
            <w:shd w:val="clear" w:color="auto" w:fill="FFFFFF"/>
          </w:tcPr>
          <w:p w14:paraId="57491EF6" w14:textId="0267170A" w:rsidR="005B5BCD" w:rsidRPr="00DB6D42" w:rsidRDefault="005B5BCD" w:rsidP="005B5BCD">
            <w:pPr>
              <w:autoSpaceDE w:val="0"/>
              <w:autoSpaceDN w:val="0"/>
              <w:adjustRightInd w:val="0"/>
              <w:spacing w:after="0"/>
              <w:rPr>
                <w:rFonts w:cs="Arial"/>
                <w:color w:val="000000"/>
                <w:sz w:val="18"/>
                <w:szCs w:val="18"/>
                <w:lang w:val="en-US"/>
              </w:rPr>
            </w:pPr>
            <w:r w:rsidRPr="00DB6D42">
              <w:rPr>
                <w:rFonts w:cs="Arial"/>
                <w:color w:val="000000"/>
                <w:sz w:val="18"/>
                <w:szCs w:val="18"/>
                <w:lang w:val="en-US"/>
              </w:rPr>
              <w:t xml:space="preserve"> </w:t>
            </w:r>
            <w:r w:rsidR="004640DB" w:rsidRPr="00DB6D42">
              <w:rPr>
                <w:rFonts w:cs="Arial"/>
                <w:color w:val="000000"/>
                <w:sz w:val="18"/>
                <w:szCs w:val="18"/>
                <w:lang w:val="en-US"/>
              </w:rPr>
              <w:t xml:space="preserve"> </w:t>
            </w:r>
            <w:r w:rsidRPr="00DB6D42">
              <w:rPr>
                <w:rFonts w:cs="Arial"/>
                <w:color w:val="000000"/>
                <w:sz w:val="18"/>
                <w:szCs w:val="18"/>
                <w:lang w:val="en-US"/>
              </w:rPr>
              <w:t xml:space="preserve"> </w:t>
            </w:r>
            <w:r w:rsidR="004640DB" w:rsidRPr="00DB6D42">
              <w:rPr>
                <w:rFonts w:cs="Arial"/>
                <w:color w:val="000000"/>
                <w:sz w:val="18"/>
                <w:szCs w:val="18"/>
                <w:lang w:val="en-US"/>
              </w:rPr>
              <w:t>2·</w:t>
            </w:r>
            <w:r w:rsidRPr="00DB6D42">
              <w:rPr>
                <w:rFonts w:cs="Arial"/>
                <w:color w:val="000000"/>
                <w:sz w:val="18"/>
                <w:szCs w:val="18"/>
                <w:lang w:val="en-US"/>
              </w:rPr>
              <w:t xml:space="preserve">85 </w:t>
            </w:r>
            <w:r w:rsidR="004640DB" w:rsidRPr="00DB6D42">
              <w:rPr>
                <w:rFonts w:cs="Arial"/>
                <w:color w:val="000000"/>
                <w:sz w:val="18"/>
                <w:szCs w:val="18"/>
                <w:lang w:val="en-US"/>
              </w:rPr>
              <w:t>(2·</w:t>
            </w:r>
            <w:r w:rsidRPr="00DB6D42">
              <w:rPr>
                <w:rFonts w:cs="Arial"/>
                <w:color w:val="000000"/>
                <w:sz w:val="18"/>
                <w:szCs w:val="18"/>
                <w:lang w:val="en-US"/>
              </w:rPr>
              <w:t>47</w:t>
            </w:r>
            <w:r w:rsidR="004640DB" w:rsidRPr="00DB6D42">
              <w:rPr>
                <w:rFonts w:cs="Arial"/>
                <w:color w:val="000000"/>
                <w:sz w:val="18"/>
                <w:szCs w:val="18"/>
                <w:lang w:val="en-US"/>
              </w:rPr>
              <w:t>, 3·</w:t>
            </w:r>
            <w:r w:rsidRPr="00DB6D42">
              <w:rPr>
                <w:rFonts w:cs="Arial"/>
                <w:color w:val="000000"/>
                <w:sz w:val="18"/>
                <w:szCs w:val="18"/>
                <w:lang w:val="en-US"/>
              </w:rPr>
              <w:t>27)</w:t>
            </w:r>
          </w:p>
          <w:p w14:paraId="68E2BD22" w14:textId="6B8DEB98" w:rsidR="004640DB" w:rsidRPr="00DB6D42" w:rsidRDefault="004640DB" w:rsidP="004640DB">
            <w:pPr>
              <w:autoSpaceDE w:val="0"/>
              <w:autoSpaceDN w:val="0"/>
              <w:adjustRightInd w:val="0"/>
              <w:spacing w:after="0"/>
              <w:rPr>
                <w:rFonts w:cs="Arial"/>
                <w:color w:val="000000"/>
                <w:sz w:val="18"/>
                <w:szCs w:val="18"/>
                <w:lang w:val="en-US"/>
              </w:rPr>
            </w:pPr>
            <w:r w:rsidRPr="00DB6D42">
              <w:rPr>
                <w:rFonts w:cs="Arial"/>
                <w:color w:val="000000"/>
                <w:sz w:val="18"/>
                <w:szCs w:val="18"/>
                <w:lang w:val="en-US"/>
              </w:rPr>
              <w:t xml:space="preserve">   0·95 (0·77, 1·16)</w:t>
            </w:r>
          </w:p>
          <w:p w14:paraId="76534AC6" w14:textId="55C8BD38" w:rsidR="001F13A8" w:rsidRPr="00DB6D42" w:rsidRDefault="004640D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0·593</w:t>
            </w:r>
          </w:p>
        </w:tc>
        <w:tc>
          <w:tcPr>
            <w:tcW w:w="1703" w:type="dxa"/>
            <w:shd w:val="clear" w:color="auto" w:fill="FFFFFF"/>
          </w:tcPr>
          <w:p w14:paraId="1D4CD961" w14:textId="3B4C7817" w:rsidR="005B5BCD" w:rsidRPr="00DB6D42" w:rsidRDefault="005B5BCD" w:rsidP="005B5BCD">
            <w:pPr>
              <w:autoSpaceDE w:val="0"/>
              <w:autoSpaceDN w:val="0"/>
              <w:adjustRightInd w:val="0"/>
              <w:spacing w:after="0"/>
              <w:rPr>
                <w:rFonts w:cs="Arial"/>
                <w:color w:val="000000"/>
                <w:sz w:val="18"/>
                <w:szCs w:val="18"/>
                <w:lang w:val="en-US"/>
              </w:rPr>
            </w:pPr>
            <w:r w:rsidRPr="00DB6D42">
              <w:rPr>
                <w:rFonts w:cs="Arial"/>
                <w:color w:val="000000"/>
                <w:sz w:val="18"/>
                <w:szCs w:val="18"/>
                <w:lang w:val="en-US"/>
              </w:rPr>
              <w:t xml:space="preserve">  </w:t>
            </w:r>
            <w:r w:rsidR="004640DB" w:rsidRPr="00DB6D42">
              <w:rPr>
                <w:rFonts w:cs="Arial"/>
                <w:color w:val="000000"/>
                <w:sz w:val="18"/>
                <w:szCs w:val="18"/>
                <w:lang w:val="en-US"/>
              </w:rPr>
              <w:t xml:space="preserve"> 2·</w:t>
            </w:r>
            <w:r w:rsidRPr="00DB6D42">
              <w:rPr>
                <w:rFonts w:cs="Arial"/>
                <w:color w:val="000000"/>
                <w:sz w:val="18"/>
                <w:szCs w:val="18"/>
                <w:lang w:val="en-US"/>
              </w:rPr>
              <w:t xml:space="preserve">85 </w:t>
            </w:r>
            <w:r w:rsidR="004640DB" w:rsidRPr="00DB6D42">
              <w:rPr>
                <w:rFonts w:cs="Arial"/>
                <w:color w:val="000000"/>
                <w:sz w:val="18"/>
                <w:szCs w:val="18"/>
                <w:lang w:val="en-US"/>
              </w:rPr>
              <w:t>(2·</w:t>
            </w:r>
            <w:r w:rsidRPr="00DB6D42">
              <w:rPr>
                <w:rFonts w:cs="Arial"/>
                <w:color w:val="000000"/>
                <w:sz w:val="18"/>
                <w:szCs w:val="18"/>
                <w:lang w:val="en-US"/>
              </w:rPr>
              <w:t>46</w:t>
            </w:r>
            <w:r w:rsidR="004640DB" w:rsidRPr="00DB6D42">
              <w:rPr>
                <w:rFonts w:cs="Arial"/>
                <w:color w:val="000000"/>
                <w:sz w:val="18"/>
                <w:szCs w:val="18"/>
                <w:lang w:val="en-US"/>
              </w:rPr>
              <w:t>, 3·</w:t>
            </w:r>
            <w:r w:rsidRPr="00DB6D42">
              <w:rPr>
                <w:rFonts w:cs="Arial"/>
                <w:color w:val="000000"/>
                <w:sz w:val="18"/>
                <w:szCs w:val="18"/>
                <w:lang w:val="en-US"/>
              </w:rPr>
              <w:t>29)</w:t>
            </w:r>
          </w:p>
          <w:p w14:paraId="4B329172" w14:textId="0E160532" w:rsidR="004640DB" w:rsidRPr="00DB6D42" w:rsidRDefault="004640DB" w:rsidP="004640DB">
            <w:pPr>
              <w:autoSpaceDE w:val="0"/>
              <w:autoSpaceDN w:val="0"/>
              <w:adjustRightInd w:val="0"/>
              <w:spacing w:after="0"/>
              <w:rPr>
                <w:rFonts w:cs="Arial"/>
                <w:color w:val="000000"/>
                <w:sz w:val="18"/>
                <w:szCs w:val="18"/>
                <w:lang w:val="en-US"/>
              </w:rPr>
            </w:pPr>
            <w:r w:rsidRPr="00DB6D42">
              <w:rPr>
                <w:rFonts w:cs="Arial"/>
                <w:color w:val="000000"/>
                <w:sz w:val="18"/>
                <w:szCs w:val="18"/>
                <w:lang w:val="en-US"/>
              </w:rPr>
              <w:t xml:space="preserve">   0·95 ( 0·77, 1·16)</w:t>
            </w:r>
          </w:p>
          <w:p w14:paraId="7468958C" w14:textId="258E946F" w:rsidR="001F13A8" w:rsidRPr="00DB6D42" w:rsidRDefault="004640D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0·596</w:t>
            </w:r>
          </w:p>
        </w:tc>
        <w:tc>
          <w:tcPr>
            <w:tcW w:w="1703" w:type="dxa"/>
            <w:shd w:val="clear" w:color="auto" w:fill="FFFFFF"/>
          </w:tcPr>
          <w:p w14:paraId="58E6D52B" w14:textId="2C4FF780" w:rsidR="005B5BCD" w:rsidRPr="00DB6D42" w:rsidRDefault="005B5BCD" w:rsidP="005B5BCD">
            <w:pPr>
              <w:autoSpaceDE w:val="0"/>
              <w:autoSpaceDN w:val="0"/>
              <w:adjustRightInd w:val="0"/>
              <w:spacing w:after="0"/>
              <w:rPr>
                <w:rFonts w:cs="Arial"/>
                <w:color w:val="000000"/>
                <w:sz w:val="18"/>
                <w:szCs w:val="18"/>
                <w:lang w:val="en-US"/>
              </w:rPr>
            </w:pPr>
            <w:r w:rsidRPr="00DB6D42">
              <w:rPr>
                <w:rFonts w:cs="Arial"/>
                <w:color w:val="000000"/>
                <w:sz w:val="18"/>
                <w:szCs w:val="18"/>
                <w:lang w:val="en-US"/>
              </w:rPr>
              <w:t xml:space="preserve">  </w:t>
            </w:r>
            <w:r w:rsidR="004640DB" w:rsidRPr="00DB6D42">
              <w:rPr>
                <w:rFonts w:cs="Arial"/>
                <w:color w:val="000000"/>
                <w:sz w:val="18"/>
                <w:szCs w:val="18"/>
                <w:lang w:val="en-US"/>
              </w:rPr>
              <w:t xml:space="preserve"> </w:t>
            </w:r>
            <w:r w:rsidRPr="00DB6D42">
              <w:rPr>
                <w:rFonts w:cs="Arial"/>
                <w:color w:val="000000"/>
                <w:sz w:val="18"/>
                <w:szCs w:val="18"/>
                <w:lang w:val="en-US"/>
              </w:rPr>
              <w:t>2</w:t>
            </w:r>
            <w:r w:rsidR="004640DB" w:rsidRPr="00DB6D42">
              <w:rPr>
                <w:rFonts w:cs="Arial"/>
                <w:color w:val="000000"/>
                <w:sz w:val="18"/>
                <w:szCs w:val="18"/>
                <w:lang w:val="en-US"/>
              </w:rPr>
              <w:t>·</w:t>
            </w:r>
            <w:r w:rsidRPr="00DB6D42">
              <w:rPr>
                <w:rFonts w:cs="Arial"/>
                <w:color w:val="000000"/>
                <w:sz w:val="18"/>
                <w:szCs w:val="18"/>
                <w:lang w:val="en-US"/>
              </w:rPr>
              <w:t xml:space="preserve">55 </w:t>
            </w:r>
            <w:r w:rsidR="004640DB" w:rsidRPr="00DB6D42">
              <w:rPr>
                <w:rFonts w:cs="Arial"/>
                <w:color w:val="000000"/>
                <w:sz w:val="18"/>
                <w:szCs w:val="18"/>
                <w:lang w:val="en-US"/>
              </w:rPr>
              <w:t>(2·</w:t>
            </w:r>
            <w:r w:rsidRPr="00DB6D42">
              <w:rPr>
                <w:rFonts w:cs="Arial"/>
                <w:color w:val="000000"/>
                <w:sz w:val="18"/>
                <w:szCs w:val="18"/>
                <w:lang w:val="en-US"/>
              </w:rPr>
              <w:t>19</w:t>
            </w:r>
            <w:r w:rsidR="004640DB" w:rsidRPr="00DB6D42">
              <w:rPr>
                <w:rFonts w:cs="Arial"/>
                <w:color w:val="000000"/>
                <w:sz w:val="18"/>
                <w:szCs w:val="18"/>
                <w:lang w:val="en-US"/>
              </w:rPr>
              <w:t>, 2·</w:t>
            </w:r>
            <w:r w:rsidRPr="00DB6D42">
              <w:rPr>
                <w:rFonts w:cs="Arial"/>
                <w:color w:val="000000"/>
                <w:sz w:val="18"/>
                <w:szCs w:val="18"/>
                <w:lang w:val="en-US"/>
              </w:rPr>
              <w:t>96)</w:t>
            </w:r>
          </w:p>
          <w:p w14:paraId="77FF2214" w14:textId="102C7BF4" w:rsidR="004640DB" w:rsidRPr="00DB6D42" w:rsidRDefault="004640DB" w:rsidP="004640DB">
            <w:pPr>
              <w:autoSpaceDE w:val="0"/>
              <w:autoSpaceDN w:val="0"/>
              <w:adjustRightInd w:val="0"/>
              <w:spacing w:after="0"/>
              <w:rPr>
                <w:rFonts w:cs="Arial"/>
                <w:color w:val="000000"/>
                <w:sz w:val="18"/>
                <w:szCs w:val="18"/>
                <w:lang w:val="en-US"/>
              </w:rPr>
            </w:pPr>
            <w:r w:rsidRPr="00DB6D42">
              <w:rPr>
                <w:rFonts w:cs="Arial"/>
                <w:color w:val="000000"/>
                <w:sz w:val="18"/>
                <w:szCs w:val="18"/>
                <w:lang w:val="en-US"/>
              </w:rPr>
              <w:t xml:space="preserve">   0·85 ( 0·69, 1·04)</w:t>
            </w:r>
          </w:p>
          <w:p w14:paraId="6B3E135E" w14:textId="1170DE8B" w:rsidR="001F13A8" w:rsidRPr="00DB6D42" w:rsidRDefault="004640DB" w:rsidP="00BB5FF5">
            <w:pPr>
              <w:keepNext/>
              <w:adjustRightInd w:val="0"/>
              <w:spacing w:after="0"/>
              <w:jc w:val="center"/>
              <w:rPr>
                <w:rFonts w:cs="Arial"/>
                <w:color w:val="000000"/>
                <w:sz w:val="18"/>
                <w:szCs w:val="18"/>
                <w:lang w:val="en-US"/>
              </w:rPr>
            </w:pPr>
            <w:r w:rsidRPr="00DB6D42">
              <w:rPr>
                <w:rFonts w:cs="Arial"/>
                <w:color w:val="000000"/>
                <w:sz w:val="18"/>
                <w:szCs w:val="18"/>
                <w:lang w:val="en-US"/>
              </w:rPr>
              <w:t>0·1210</w:t>
            </w:r>
          </w:p>
        </w:tc>
        <w:tc>
          <w:tcPr>
            <w:tcW w:w="1703" w:type="dxa"/>
            <w:shd w:val="clear" w:color="auto" w:fill="FFFFFF"/>
          </w:tcPr>
          <w:p w14:paraId="5E5FCAE4" w14:textId="2DF9217E" w:rsidR="005B5BCD" w:rsidRPr="00DB6D42" w:rsidRDefault="005B5BCD" w:rsidP="00DB6D42">
            <w:pPr>
              <w:autoSpaceDE w:val="0"/>
              <w:autoSpaceDN w:val="0"/>
              <w:adjustRightInd w:val="0"/>
              <w:spacing w:after="0"/>
              <w:rPr>
                <w:rFonts w:cs="Arial"/>
                <w:color w:val="000000"/>
                <w:sz w:val="18"/>
                <w:szCs w:val="18"/>
                <w:lang w:val="en-US"/>
              </w:rPr>
            </w:pPr>
            <w:r w:rsidRPr="00DB6D42">
              <w:rPr>
                <w:rFonts w:cs="Arial"/>
                <w:color w:val="000000"/>
                <w:sz w:val="18"/>
                <w:szCs w:val="18"/>
                <w:lang w:val="en-US"/>
              </w:rPr>
              <w:t xml:space="preserve">   </w:t>
            </w:r>
            <w:r w:rsidR="004640DB" w:rsidRPr="00DB6D42">
              <w:rPr>
                <w:rFonts w:cs="Arial"/>
                <w:color w:val="000000"/>
                <w:sz w:val="18"/>
                <w:szCs w:val="18"/>
                <w:lang w:val="en-US"/>
              </w:rPr>
              <w:t xml:space="preserve"> 2·</w:t>
            </w:r>
            <w:r w:rsidRPr="00DB6D42">
              <w:rPr>
                <w:rFonts w:cs="Arial"/>
                <w:color w:val="000000"/>
                <w:sz w:val="18"/>
                <w:szCs w:val="18"/>
                <w:lang w:val="en-US"/>
              </w:rPr>
              <w:t>44 (</w:t>
            </w:r>
            <w:r w:rsidR="004640DB" w:rsidRPr="00DB6D42">
              <w:rPr>
                <w:rFonts w:cs="Arial"/>
                <w:color w:val="000000"/>
                <w:sz w:val="18"/>
                <w:szCs w:val="18"/>
                <w:lang w:val="en-US"/>
              </w:rPr>
              <w:t>2·</w:t>
            </w:r>
            <w:r w:rsidRPr="00DB6D42">
              <w:rPr>
                <w:rFonts w:cs="Arial"/>
                <w:color w:val="000000"/>
                <w:sz w:val="18"/>
                <w:szCs w:val="18"/>
                <w:lang w:val="en-US"/>
              </w:rPr>
              <w:t>11</w:t>
            </w:r>
            <w:r w:rsidR="004640DB" w:rsidRPr="00DB6D42">
              <w:rPr>
                <w:rFonts w:cs="Arial"/>
                <w:color w:val="000000"/>
                <w:sz w:val="18"/>
                <w:szCs w:val="18"/>
                <w:lang w:val="en-US"/>
              </w:rPr>
              <w:t>, 2·</w:t>
            </w:r>
            <w:r w:rsidRPr="00DB6D42">
              <w:rPr>
                <w:rFonts w:cs="Arial"/>
                <w:color w:val="000000"/>
                <w:sz w:val="18"/>
                <w:szCs w:val="18"/>
                <w:lang w:val="en-US"/>
              </w:rPr>
              <w:t>83)</w:t>
            </w:r>
          </w:p>
          <w:p w14:paraId="5FDA1F8E" w14:textId="18666C26" w:rsidR="001F13A8" w:rsidRPr="00DB6D42" w:rsidRDefault="004640DB" w:rsidP="00DB6D42">
            <w:pPr>
              <w:autoSpaceDE w:val="0"/>
              <w:autoSpaceDN w:val="0"/>
              <w:adjustRightInd w:val="0"/>
              <w:spacing w:after="0"/>
              <w:rPr>
                <w:rFonts w:cs="Arial"/>
                <w:color w:val="000000"/>
                <w:sz w:val="18"/>
                <w:szCs w:val="18"/>
                <w:lang w:val="en-US"/>
              </w:rPr>
            </w:pPr>
            <w:r w:rsidRPr="00DB6D42">
              <w:rPr>
                <w:rFonts w:cs="Arial"/>
                <w:color w:val="000000"/>
                <w:sz w:val="18"/>
                <w:szCs w:val="18"/>
                <w:lang w:val="en-US"/>
              </w:rPr>
              <w:t xml:space="preserve">    0·81 ( 0·66, 0·1)</w:t>
            </w:r>
          </w:p>
          <w:p w14:paraId="4779F290" w14:textId="5D1B791C" w:rsidR="004640DB" w:rsidRPr="00DB6D42" w:rsidRDefault="004640DB" w:rsidP="00DB6D42">
            <w:pPr>
              <w:autoSpaceDE w:val="0"/>
              <w:autoSpaceDN w:val="0"/>
              <w:adjustRightInd w:val="0"/>
              <w:spacing w:after="0"/>
              <w:rPr>
                <w:rFonts w:cs="Arial"/>
                <w:color w:val="000000"/>
                <w:sz w:val="18"/>
                <w:szCs w:val="18"/>
                <w:lang w:val="en-US"/>
              </w:rPr>
            </w:pPr>
            <w:r w:rsidRPr="00DB6D42">
              <w:rPr>
                <w:rFonts w:cs="Arial"/>
                <w:color w:val="000000"/>
                <w:sz w:val="18"/>
                <w:szCs w:val="18"/>
                <w:lang w:val="en-US"/>
              </w:rPr>
              <w:t xml:space="preserve">           0·049</w:t>
            </w:r>
          </w:p>
        </w:tc>
      </w:tr>
      <w:tr w:rsidR="005B5BCD" w:rsidRPr="00DB6D42" w14:paraId="5757716C" w14:textId="77777777" w:rsidTr="00DB6D42">
        <w:trPr>
          <w:cantSplit/>
          <w:jc w:val="center"/>
        </w:trPr>
        <w:tc>
          <w:tcPr>
            <w:tcW w:w="5445" w:type="dxa"/>
            <w:tcBorders>
              <w:bottom w:val="single" w:sz="4" w:space="0" w:color="auto"/>
            </w:tcBorders>
            <w:shd w:val="clear" w:color="auto" w:fill="FFFFFF"/>
          </w:tcPr>
          <w:p w14:paraId="7E2A4D11" w14:textId="77777777" w:rsidR="005B5BCD" w:rsidRPr="00DB6D42" w:rsidRDefault="005B5BCD" w:rsidP="00BB5FF5">
            <w:pPr>
              <w:keepNext/>
              <w:adjustRightInd w:val="0"/>
              <w:spacing w:after="0"/>
              <w:rPr>
                <w:rFonts w:cs="Arial"/>
                <w:color w:val="000000"/>
                <w:sz w:val="18"/>
                <w:szCs w:val="18"/>
                <w:lang w:val="en-US"/>
              </w:rPr>
            </w:pPr>
          </w:p>
        </w:tc>
        <w:tc>
          <w:tcPr>
            <w:tcW w:w="1703" w:type="dxa"/>
            <w:tcBorders>
              <w:bottom w:val="single" w:sz="4" w:space="0" w:color="auto"/>
            </w:tcBorders>
            <w:shd w:val="clear" w:color="auto" w:fill="FFFFFF"/>
          </w:tcPr>
          <w:p w14:paraId="37DB79B1" w14:textId="77777777" w:rsidR="005B5BCD" w:rsidRPr="00DB6D42" w:rsidRDefault="005B5BCD" w:rsidP="00BB5FF5">
            <w:pPr>
              <w:keepNext/>
              <w:adjustRightInd w:val="0"/>
              <w:spacing w:after="0"/>
              <w:jc w:val="center"/>
              <w:rPr>
                <w:rFonts w:cs="Arial"/>
                <w:color w:val="000000"/>
                <w:sz w:val="18"/>
                <w:szCs w:val="18"/>
                <w:lang w:val="en-US"/>
              </w:rPr>
            </w:pPr>
          </w:p>
        </w:tc>
        <w:tc>
          <w:tcPr>
            <w:tcW w:w="1703" w:type="dxa"/>
            <w:tcBorders>
              <w:bottom w:val="single" w:sz="4" w:space="0" w:color="auto"/>
            </w:tcBorders>
            <w:shd w:val="clear" w:color="auto" w:fill="FFFFFF"/>
          </w:tcPr>
          <w:p w14:paraId="79D84028" w14:textId="77777777" w:rsidR="005B5BCD" w:rsidRPr="00DB6D42" w:rsidRDefault="005B5BCD" w:rsidP="00BB5FF5">
            <w:pPr>
              <w:keepNext/>
              <w:adjustRightInd w:val="0"/>
              <w:spacing w:after="0"/>
              <w:jc w:val="center"/>
              <w:rPr>
                <w:rFonts w:cs="Arial"/>
                <w:color w:val="000000"/>
                <w:sz w:val="18"/>
                <w:szCs w:val="18"/>
                <w:lang w:val="en-US"/>
              </w:rPr>
            </w:pPr>
          </w:p>
        </w:tc>
        <w:tc>
          <w:tcPr>
            <w:tcW w:w="1703" w:type="dxa"/>
            <w:tcBorders>
              <w:bottom w:val="single" w:sz="4" w:space="0" w:color="auto"/>
            </w:tcBorders>
            <w:shd w:val="clear" w:color="auto" w:fill="FFFFFF"/>
          </w:tcPr>
          <w:p w14:paraId="78223BF5" w14:textId="77777777" w:rsidR="005B5BCD" w:rsidRPr="00DB6D42" w:rsidRDefault="005B5BCD" w:rsidP="00BB5FF5">
            <w:pPr>
              <w:keepNext/>
              <w:adjustRightInd w:val="0"/>
              <w:spacing w:after="0"/>
              <w:jc w:val="center"/>
              <w:rPr>
                <w:rFonts w:cs="Arial"/>
                <w:color w:val="000000"/>
                <w:sz w:val="18"/>
                <w:szCs w:val="18"/>
                <w:lang w:val="en-US"/>
              </w:rPr>
            </w:pPr>
          </w:p>
        </w:tc>
        <w:tc>
          <w:tcPr>
            <w:tcW w:w="1703" w:type="dxa"/>
            <w:tcBorders>
              <w:bottom w:val="single" w:sz="4" w:space="0" w:color="auto"/>
            </w:tcBorders>
            <w:shd w:val="clear" w:color="auto" w:fill="FFFFFF"/>
          </w:tcPr>
          <w:p w14:paraId="546328E7" w14:textId="77777777" w:rsidR="005B5BCD" w:rsidRPr="00DB6D42" w:rsidRDefault="005B5BCD" w:rsidP="00BB5FF5">
            <w:pPr>
              <w:keepNext/>
              <w:adjustRightInd w:val="0"/>
              <w:spacing w:after="0"/>
              <w:jc w:val="center"/>
              <w:rPr>
                <w:rFonts w:cs="Arial"/>
                <w:color w:val="000000"/>
                <w:sz w:val="18"/>
                <w:szCs w:val="18"/>
                <w:lang w:val="en-US"/>
              </w:rPr>
            </w:pPr>
          </w:p>
        </w:tc>
        <w:tc>
          <w:tcPr>
            <w:tcW w:w="1703" w:type="dxa"/>
            <w:tcBorders>
              <w:bottom w:val="single" w:sz="4" w:space="0" w:color="auto"/>
            </w:tcBorders>
            <w:shd w:val="clear" w:color="auto" w:fill="FFFFFF"/>
          </w:tcPr>
          <w:p w14:paraId="7B250C57" w14:textId="77777777" w:rsidR="005B5BCD" w:rsidRPr="00DB6D42" w:rsidRDefault="005B5BCD" w:rsidP="00BB5FF5">
            <w:pPr>
              <w:keepNext/>
              <w:adjustRightInd w:val="0"/>
              <w:spacing w:after="0"/>
              <w:jc w:val="center"/>
              <w:rPr>
                <w:rFonts w:cs="Arial"/>
                <w:color w:val="000000"/>
                <w:sz w:val="18"/>
                <w:szCs w:val="18"/>
                <w:lang w:val="en-US"/>
              </w:rPr>
            </w:pPr>
          </w:p>
        </w:tc>
      </w:tr>
    </w:tbl>
    <w:p w14:paraId="2C41E292" w14:textId="46F6B7C1" w:rsidR="008F6397" w:rsidRPr="00DB6D42" w:rsidRDefault="004A4FA0" w:rsidP="00BB5FF5">
      <w:pPr>
        <w:spacing w:before="80" w:after="80"/>
        <w:jc w:val="both"/>
        <w:rPr>
          <w:rFonts w:cs="Arial"/>
          <w:color w:val="000000"/>
          <w:sz w:val="18"/>
          <w:szCs w:val="18"/>
          <w:lang w:val="en-US"/>
        </w:rPr>
      </w:pPr>
      <w:r w:rsidRPr="00DB6D42">
        <w:rPr>
          <w:sz w:val="20"/>
          <w:lang w:val="en-US"/>
        </w:rPr>
        <w:t>EOT, end of treatment</w:t>
      </w:r>
      <w:r w:rsidR="00EE1EFC" w:rsidRPr="00DB6D42">
        <w:rPr>
          <w:sz w:val="20"/>
          <w:lang w:val="en-US"/>
        </w:rPr>
        <w:t>.</w:t>
      </w:r>
    </w:p>
    <w:p w14:paraId="769DCEF5" w14:textId="30393807" w:rsidR="002E01FE" w:rsidRPr="00DB6D42" w:rsidRDefault="007D484D" w:rsidP="00BB5FF5">
      <w:pPr>
        <w:spacing w:before="80" w:after="80"/>
        <w:jc w:val="both"/>
        <w:rPr>
          <w:rFonts w:cs="Arial"/>
          <w:color w:val="000000"/>
          <w:sz w:val="18"/>
          <w:szCs w:val="18"/>
          <w:lang w:val="en-US"/>
        </w:rPr>
      </w:pPr>
      <w:r w:rsidRPr="00DB6D42">
        <w:rPr>
          <w:rFonts w:cs="Arial"/>
          <w:color w:val="000000"/>
          <w:sz w:val="18"/>
          <w:szCs w:val="18"/>
          <w:lang w:val="en-US"/>
        </w:rPr>
        <w:t xml:space="preserve">* </w:t>
      </w:r>
      <w:r w:rsidR="002E01FE" w:rsidRPr="00DB6D42">
        <w:rPr>
          <w:rFonts w:cs="Arial"/>
          <w:color w:val="000000"/>
          <w:sz w:val="18"/>
          <w:szCs w:val="18"/>
          <w:lang w:val="en-US"/>
        </w:rPr>
        <w:t xml:space="preserve">Estimates from repeated measures linear model with treatment, baseline, sample, treatment by sample and baseline by sample interactions </w:t>
      </w:r>
    </w:p>
    <w:p w14:paraId="2F0F213F" w14:textId="71EE424F" w:rsidR="00292F0F" w:rsidRPr="00DB6D42" w:rsidRDefault="00292F0F" w:rsidP="00DB6D42">
      <w:pPr>
        <w:spacing w:before="80" w:after="80"/>
        <w:jc w:val="both"/>
        <w:rPr>
          <w:lang w:val="en-US"/>
        </w:rPr>
      </w:pPr>
      <w:r w:rsidRPr="00DB6D42">
        <w:rPr>
          <w:rFonts w:cs="Arial"/>
          <w:color w:val="000000"/>
          <w:sz w:val="18"/>
          <w:szCs w:val="18"/>
          <w:lang w:val="en-US"/>
        </w:rPr>
        <w:br w:type="page"/>
      </w:r>
      <w:r w:rsidRPr="00DB6D42">
        <w:rPr>
          <w:lang w:val="en-US"/>
        </w:rPr>
        <w:lastRenderedPageBreak/>
        <w:t xml:space="preserve">Table </w:t>
      </w:r>
      <w:r w:rsidR="009E4916" w:rsidRPr="00DB6D42">
        <w:rPr>
          <w:lang w:val="en-US"/>
        </w:rPr>
        <w:t>4</w:t>
      </w:r>
      <w:r w:rsidRPr="00DB6D42">
        <w:rPr>
          <w:lang w:val="en-US"/>
        </w:rPr>
        <w:t xml:space="preserve">. Summary of Adverse Events (AEs) </w:t>
      </w:r>
    </w:p>
    <w:p w14:paraId="1B9DF746" w14:textId="77777777" w:rsidR="00092C40" w:rsidRPr="00DB6D42" w:rsidRDefault="00092C40" w:rsidP="00BB5FF5">
      <w:pPr>
        <w:spacing w:after="0"/>
        <w:rPr>
          <w:vanish/>
        </w:rPr>
      </w:pPr>
    </w:p>
    <w:tbl>
      <w:tblPr>
        <w:tblW w:w="13138" w:type="dxa"/>
        <w:jc w:val="center"/>
        <w:tblBorders>
          <w:top w:val="single" w:sz="4" w:space="0" w:color="7F7F7F"/>
          <w:bottom w:val="single" w:sz="4" w:space="0" w:color="7F7F7F"/>
        </w:tblBorders>
        <w:tblLook w:val="04A0" w:firstRow="1" w:lastRow="0" w:firstColumn="1" w:lastColumn="0" w:noHBand="0" w:noVBand="1"/>
      </w:tblPr>
      <w:tblGrid>
        <w:gridCol w:w="5445"/>
        <w:gridCol w:w="1564"/>
        <w:gridCol w:w="1422"/>
        <w:gridCol w:w="1458"/>
        <w:gridCol w:w="70"/>
        <w:gridCol w:w="1651"/>
        <w:gridCol w:w="1528"/>
      </w:tblGrid>
      <w:tr w:rsidR="00822B3A" w:rsidRPr="00DB6D42" w14:paraId="5A192798" w14:textId="77777777" w:rsidTr="00DD6FAC">
        <w:trPr>
          <w:trHeight w:hRule="exact" w:val="680"/>
          <w:jc w:val="center"/>
        </w:trPr>
        <w:tc>
          <w:tcPr>
            <w:tcW w:w="5445" w:type="dxa"/>
            <w:tcBorders>
              <w:bottom w:val="single" w:sz="4" w:space="0" w:color="7F7F7F"/>
            </w:tcBorders>
            <w:shd w:val="clear" w:color="auto" w:fill="auto"/>
          </w:tcPr>
          <w:p w14:paraId="162405C2" w14:textId="77777777" w:rsidR="00822B3A" w:rsidRPr="00DB6D42" w:rsidRDefault="00822B3A" w:rsidP="00BB5FF5">
            <w:pPr>
              <w:rPr>
                <w:rFonts w:cs="Arial"/>
                <w:bCs/>
                <w:lang w:val="en-US"/>
              </w:rPr>
            </w:pPr>
          </w:p>
        </w:tc>
        <w:tc>
          <w:tcPr>
            <w:tcW w:w="1564" w:type="dxa"/>
            <w:tcBorders>
              <w:bottom w:val="single" w:sz="4" w:space="0" w:color="7F7F7F"/>
            </w:tcBorders>
            <w:shd w:val="clear" w:color="auto" w:fill="auto"/>
          </w:tcPr>
          <w:p w14:paraId="7EFDA855" w14:textId="77777777" w:rsidR="00822B3A" w:rsidRPr="00DB6D42" w:rsidRDefault="00822B3A" w:rsidP="00BB5FF5">
            <w:pPr>
              <w:keepNext/>
              <w:adjustRightInd w:val="0"/>
              <w:jc w:val="center"/>
              <w:rPr>
                <w:rFonts w:cs="Arial"/>
                <w:bCs/>
                <w:color w:val="000000"/>
                <w:lang w:val="en-US"/>
              </w:rPr>
            </w:pPr>
            <w:r w:rsidRPr="00DB6D42">
              <w:rPr>
                <w:rFonts w:cs="Arial"/>
                <w:bCs/>
                <w:color w:val="000000"/>
                <w:lang w:val="en-US"/>
              </w:rPr>
              <w:t>Placebo</w:t>
            </w:r>
            <w:r w:rsidRPr="00DB6D42">
              <w:rPr>
                <w:rFonts w:cs="Arial"/>
                <w:bCs/>
                <w:color w:val="000000"/>
                <w:lang w:val="en-US"/>
              </w:rPr>
              <w:br/>
              <w:t>(N=47)</w:t>
            </w:r>
          </w:p>
        </w:tc>
        <w:tc>
          <w:tcPr>
            <w:tcW w:w="1422" w:type="dxa"/>
            <w:tcBorders>
              <w:bottom w:val="single" w:sz="4" w:space="0" w:color="7F7F7F"/>
            </w:tcBorders>
            <w:shd w:val="clear" w:color="auto" w:fill="auto"/>
          </w:tcPr>
          <w:p w14:paraId="642FC24F" w14:textId="77777777" w:rsidR="00822B3A" w:rsidRPr="00DB6D42" w:rsidRDefault="00822B3A" w:rsidP="00BB5FF5">
            <w:pPr>
              <w:keepNext/>
              <w:adjustRightInd w:val="0"/>
              <w:jc w:val="center"/>
              <w:rPr>
                <w:rFonts w:cs="Arial"/>
                <w:bCs/>
                <w:color w:val="000000"/>
                <w:lang w:val="en-US"/>
              </w:rPr>
            </w:pPr>
            <w:r w:rsidRPr="00DB6D42">
              <w:rPr>
                <w:rFonts w:cs="Arial"/>
                <w:bCs/>
                <w:color w:val="000000"/>
                <w:lang w:val="en-US"/>
              </w:rPr>
              <w:t>LD</w:t>
            </w:r>
            <w:r w:rsidRPr="00DB6D42">
              <w:rPr>
                <w:rFonts w:cs="Arial"/>
                <w:bCs/>
                <w:color w:val="000000"/>
                <w:lang w:val="en-US"/>
              </w:rPr>
              <w:br/>
              <w:t>(N=48)</w:t>
            </w:r>
          </w:p>
        </w:tc>
        <w:tc>
          <w:tcPr>
            <w:tcW w:w="1458" w:type="dxa"/>
            <w:tcBorders>
              <w:bottom w:val="single" w:sz="4" w:space="0" w:color="7F7F7F"/>
            </w:tcBorders>
            <w:shd w:val="clear" w:color="auto" w:fill="auto"/>
          </w:tcPr>
          <w:p w14:paraId="173E2D3D" w14:textId="77777777" w:rsidR="00822B3A" w:rsidRPr="00DB6D42" w:rsidRDefault="00822B3A" w:rsidP="00BB5FF5">
            <w:pPr>
              <w:keepNext/>
              <w:adjustRightInd w:val="0"/>
              <w:jc w:val="center"/>
              <w:rPr>
                <w:rFonts w:cs="Arial"/>
                <w:bCs/>
                <w:color w:val="000000"/>
                <w:lang w:val="en-US"/>
              </w:rPr>
            </w:pPr>
            <w:r w:rsidRPr="00DB6D42">
              <w:rPr>
                <w:rFonts w:cs="Arial"/>
                <w:bCs/>
                <w:color w:val="000000"/>
                <w:lang w:val="en-US"/>
              </w:rPr>
              <w:t>SD</w:t>
            </w:r>
            <w:r w:rsidRPr="00DB6D42">
              <w:rPr>
                <w:rFonts w:cs="Arial"/>
                <w:bCs/>
                <w:color w:val="000000"/>
                <w:lang w:val="en-US"/>
              </w:rPr>
              <w:br/>
              <w:t>(N=46)</w:t>
            </w:r>
          </w:p>
        </w:tc>
        <w:tc>
          <w:tcPr>
            <w:tcW w:w="1721" w:type="dxa"/>
            <w:gridSpan w:val="2"/>
            <w:tcBorders>
              <w:bottom w:val="single" w:sz="4" w:space="0" w:color="7F7F7F"/>
            </w:tcBorders>
            <w:shd w:val="clear" w:color="auto" w:fill="auto"/>
          </w:tcPr>
          <w:p w14:paraId="475A3D26" w14:textId="77777777" w:rsidR="00822B3A" w:rsidRPr="00DB6D42" w:rsidRDefault="00822B3A" w:rsidP="00BB5FF5">
            <w:pPr>
              <w:keepNext/>
              <w:adjustRightInd w:val="0"/>
              <w:jc w:val="center"/>
              <w:rPr>
                <w:rFonts w:cs="Arial"/>
                <w:bCs/>
                <w:color w:val="000000"/>
                <w:lang w:val="en-US"/>
              </w:rPr>
            </w:pPr>
            <w:r w:rsidRPr="00DB6D42">
              <w:rPr>
                <w:rFonts w:cs="Arial"/>
                <w:bCs/>
                <w:color w:val="000000"/>
                <w:lang w:val="en-US"/>
              </w:rPr>
              <w:t>HD</w:t>
            </w:r>
            <w:r w:rsidRPr="00DB6D42">
              <w:rPr>
                <w:rFonts w:cs="Arial"/>
                <w:bCs/>
                <w:color w:val="000000"/>
                <w:lang w:val="en-US"/>
              </w:rPr>
              <w:br/>
              <w:t>(N=45)</w:t>
            </w:r>
          </w:p>
        </w:tc>
        <w:tc>
          <w:tcPr>
            <w:tcW w:w="1528" w:type="dxa"/>
            <w:tcBorders>
              <w:bottom w:val="single" w:sz="4" w:space="0" w:color="7F7F7F"/>
            </w:tcBorders>
            <w:shd w:val="clear" w:color="auto" w:fill="auto"/>
          </w:tcPr>
          <w:p w14:paraId="6BE8B949" w14:textId="77777777" w:rsidR="00822B3A" w:rsidRPr="00DB6D42" w:rsidRDefault="00822B3A" w:rsidP="00BB5FF5">
            <w:pPr>
              <w:keepNext/>
              <w:adjustRightInd w:val="0"/>
              <w:jc w:val="center"/>
              <w:rPr>
                <w:rFonts w:cs="Arial"/>
                <w:bCs/>
                <w:color w:val="000000"/>
                <w:lang w:val="en-US"/>
              </w:rPr>
            </w:pPr>
            <w:r w:rsidRPr="00DB6D42">
              <w:rPr>
                <w:rFonts w:cs="Arial"/>
                <w:bCs/>
                <w:color w:val="000000"/>
                <w:lang w:val="en-US"/>
              </w:rPr>
              <w:t>BZN</w:t>
            </w:r>
            <w:r w:rsidRPr="00DB6D42">
              <w:rPr>
                <w:rFonts w:cs="Arial"/>
                <w:bCs/>
                <w:color w:val="000000"/>
                <w:lang w:val="en-US"/>
              </w:rPr>
              <w:br/>
              <w:t>(N=45)</w:t>
            </w:r>
          </w:p>
        </w:tc>
      </w:tr>
      <w:tr w:rsidR="00822B3A" w:rsidRPr="00DB6D42" w14:paraId="52AC3FCF" w14:textId="77777777" w:rsidTr="00DD6FAC">
        <w:trPr>
          <w:trHeight w:val="285"/>
          <w:jc w:val="center"/>
        </w:trPr>
        <w:tc>
          <w:tcPr>
            <w:tcW w:w="5445" w:type="dxa"/>
            <w:tcBorders>
              <w:top w:val="single" w:sz="4" w:space="0" w:color="7F7F7F"/>
              <w:bottom w:val="single" w:sz="4" w:space="0" w:color="7F7F7F"/>
            </w:tcBorders>
            <w:shd w:val="clear" w:color="auto" w:fill="auto"/>
          </w:tcPr>
          <w:p w14:paraId="1210D8A6" w14:textId="77777777" w:rsidR="00822B3A" w:rsidRPr="00DB6D42" w:rsidRDefault="00822B3A" w:rsidP="00BB5FF5">
            <w:pPr>
              <w:rPr>
                <w:rFonts w:cs="Arial"/>
                <w:lang w:val="en-US"/>
              </w:rPr>
            </w:pPr>
            <w:r w:rsidRPr="00DB6D42">
              <w:rPr>
                <w:rFonts w:cs="Arial"/>
                <w:lang w:val="en-US"/>
              </w:rPr>
              <w:t>Any Treatment Emergent Adverse Events (TEAEs)</w:t>
            </w:r>
          </w:p>
        </w:tc>
        <w:tc>
          <w:tcPr>
            <w:tcW w:w="1564" w:type="dxa"/>
            <w:tcBorders>
              <w:top w:val="single" w:sz="4" w:space="0" w:color="7F7F7F"/>
              <w:bottom w:val="single" w:sz="4" w:space="0" w:color="7F7F7F"/>
            </w:tcBorders>
            <w:shd w:val="clear" w:color="auto" w:fill="auto"/>
          </w:tcPr>
          <w:p w14:paraId="2B541765" w14:textId="52A965BB" w:rsidR="00822B3A" w:rsidRPr="00DB6D42" w:rsidRDefault="00822B3A" w:rsidP="00BB5FF5">
            <w:pPr>
              <w:keepNext/>
              <w:adjustRightInd w:val="0"/>
              <w:jc w:val="center"/>
              <w:rPr>
                <w:rFonts w:cs="Arial"/>
                <w:color w:val="000000"/>
                <w:lang w:val="en-US"/>
              </w:rPr>
            </w:pPr>
            <w:r w:rsidRPr="00DB6D42">
              <w:rPr>
                <w:rFonts w:cs="Arial"/>
                <w:color w:val="000000"/>
                <w:lang w:val="en-US"/>
              </w:rPr>
              <w:t>38 (80</w:t>
            </w:r>
            <w:r w:rsidR="00D041F0" w:rsidRPr="00DB6D42">
              <w:rPr>
                <w:rFonts w:cs="Arial"/>
                <w:color w:val="000000"/>
                <w:lang w:val="en-US"/>
              </w:rPr>
              <w:t>·</w:t>
            </w:r>
            <w:r w:rsidRPr="00DB6D42">
              <w:rPr>
                <w:rFonts w:cs="Arial"/>
                <w:color w:val="000000"/>
                <w:lang w:val="en-US"/>
              </w:rPr>
              <w:t>9%) [95]</w:t>
            </w:r>
          </w:p>
        </w:tc>
        <w:tc>
          <w:tcPr>
            <w:tcW w:w="1422" w:type="dxa"/>
            <w:tcBorders>
              <w:top w:val="single" w:sz="4" w:space="0" w:color="7F7F7F"/>
              <w:bottom w:val="single" w:sz="4" w:space="0" w:color="7F7F7F"/>
            </w:tcBorders>
            <w:shd w:val="clear" w:color="auto" w:fill="auto"/>
          </w:tcPr>
          <w:p w14:paraId="54125548" w14:textId="47B086E2" w:rsidR="00822B3A" w:rsidRPr="00DB6D42" w:rsidRDefault="00822B3A" w:rsidP="00BB5FF5">
            <w:pPr>
              <w:keepNext/>
              <w:adjustRightInd w:val="0"/>
              <w:jc w:val="center"/>
              <w:rPr>
                <w:rFonts w:cs="Arial"/>
                <w:color w:val="000000"/>
              </w:rPr>
            </w:pPr>
            <w:r w:rsidRPr="00DB6D42">
              <w:rPr>
                <w:rFonts w:cs="Arial"/>
                <w:color w:val="000000"/>
                <w:lang w:val="en-US"/>
              </w:rPr>
              <w:t xml:space="preserve">37 </w:t>
            </w:r>
            <w:r w:rsidRPr="00DB6D42">
              <w:rPr>
                <w:rFonts w:cs="Arial"/>
                <w:color w:val="000000"/>
              </w:rPr>
              <w:t>(77</w:t>
            </w:r>
            <w:r w:rsidR="00D041F0" w:rsidRPr="00DB6D42">
              <w:rPr>
                <w:rFonts w:cs="Arial"/>
                <w:color w:val="000000"/>
              </w:rPr>
              <w:t>·</w:t>
            </w:r>
            <w:r w:rsidRPr="00DB6D42">
              <w:rPr>
                <w:rFonts w:cs="Arial"/>
                <w:color w:val="000000"/>
              </w:rPr>
              <w:t>1%) [116]</w:t>
            </w:r>
          </w:p>
        </w:tc>
        <w:tc>
          <w:tcPr>
            <w:tcW w:w="1528" w:type="dxa"/>
            <w:gridSpan w:val="2"/>
            <w:tcBorders>
              <w:top w:val="single" w:sz="4" w:space="0" w:color="7F7F7F"/>
              <w:bottom w:val="single" w:sz="4" w:space="0" w:color="7F7F7F"/>
            </w:tcBorders>
            <w:shd w:val="clear" w:color="auto" w:fill="auto"/>
          </w:tcPr>
          <w:p w14:paraId="5E5E91F5" w14:textId="5A335EAC" w:rsidR="00822B3A" w:rsidRPr="00DB6D42" w:rsidRDefault="00822B3A" w:rsidP="00BB5FF5">
            <w:pPr>
              <w:keepNext/>
              <w:adjustRightInd w:val="0"/>
              <w:jc w:val="center"/>
              <w:rPr>
                <w:rFonts w:cs="Arial"/>
                <w:color w:val="000000"/>
              </w:rPr>
            </w:pPr>
            <w:r w:rsidRPr="00DB6D42">
              <w:rPr>
                <w:rFonts w:cs="Arial"/>
                <w:color w:val="000000"/>
              </w:rPr>
              <w:t>40 (87</w:t>
            </w:r>
            <w:r w:rsidR="00D041F0" w:rsidRPr="00DB6D42">
              <w:rPr>
                <w:rFonts w:cs="Arial"/>
                <w:color w:val="000000"/>
              </w:rPr>
              <w:t>·</w:t>
            </w:r>
            <w:r w:rsidRPr="00DB6D42">
              <w:rPr>
                <w:rFonts w:cs="Arial"/>
                <w:color w:val="000000"/>
              </w:rPr>
              <w:t>0%) [116]</w:t>
            </w:r>
          </w:p>
        </w:tc>
        <w:tc>
          <w:tcPr>
            <w:tcW w:w="1651" w:type="dxa"/>
            <w:tcBorders>
              <w:top w:val="single" w:sz="4" w:space="0" w:color="7F7F7F"/>
              <w:bottom w:val="single" w:sz="4" w:space="0" w:color="7F7F7F"/>
            </w:tcBorders>
            <w:shd w:val="clear" w:color="auto" w:fill="auto"/>
          </w:tcPr>
          <w:p w14:paraId="6D1245EF" w14:textId="7FC3CCC3" w:rsidR="00822B3A" w:rsidRPr="00DB6D42" w:rsidRDefault="00822B3A" w:rsidP="00BB5FF5">
            <w:pPr>
              <w:keepNext/>
              <w:adjustRightInd w:val="0"/>
              <w:jc w:val="center"/>
              <w:rPr>
                <w:rFonts w:cs="Arial"/>
                <w:color w:val="000000"/>
              </w:rPr>
            </w:pPr>
            <w:r w:rsidRPr="00DB6D42">
              <w:rPr>
                <w:rFonts w:cs="Arial"/>
                <w:color w:val="000000"/>
              </w:rPr>
              <w:t>33 (73</w:t>
            </w:r>
            <w:r w:rsidR="00D041F0" w:rsidRPr="00DB6D42">
              <w:rPr>
                <w:rFonts w:cs="Arial"/>
                <w:color w:val="000000"/>
              </w:rPr>
              <w:t>·</w:t>
            </w:r>
            <w:r w:rsidRPr="00DB6D42">
              <w:rPr>
                <w:rFonts w:cs="Arial"/>
                <w:color w:val="000000"/>
              </w:rPr>
              <w:t>3%) [131]</w:t>
            </w:r>
          </w:p>
        </w:tc>
        <w:tc>
          <w:tcPr>
            <w:tcW w:w="1528" w:type="dxa"/>
            <w:tcBorders>
              <w:top w:val="single" w:sz="4" w:space="0" w:color="7F7F7F"/>
              <w:bottom w:val="single" w:sz="4" w:space="0" w:color="7F7F7F"/>
            </w:tcBorders>
            <w:shd w:val="clear" w:color="auto" w:fill="auto"/>
          </w:tcPr>
          <w:p w14:paraId="7111CB2C" w14:textId="159364B4" w:rsidR="00822B3A" w:rsidRPr="00DB6D42" w:rsidRDefault="00822B3A" w:rsidP="00BB5FF5">
            <w:pPr>
              <w:keepNext/>
              <w:adjustRightInd w:val="0"/>
              <w:jc w:val="center"/>
              <w:rPr>
                <w:rFonts w:cs="Arial"/>
                <w:color w:val="000000"/>
              </w:rPr>
            </w:pPr>
            <w:r w:rsidRPr="00DB6D42">
              <w:rPr>
                <w:rFonts w:cs="Arial"/>
                <w:color w:val="000000"/>
              </w:rPr>
              <w:t>39 (86</w:t>
            </w:r>
            <w:r w:rsidR="00D041F0" w:rsidRPr="00DB6D42">
              <w:rPr>
                <w:rFonts w:cs="Arial"/>
                <w:color w:val="000000"/>
              </w:rPr>
              <w:t>·</w:t>
            </w:r>
            <w:r w:rsidRPr="00DB6D42">
              <w:rPr>
                <w:rFonts w:cs="Arial"/>
                <w:color w:val="000000"/>
              </w:rPr>
              <w:t>7%) [165]</w:t>
            </w:r>
          </w:p>
        </w:tc>
      </w:tr>
      <w:tr w:rsidR="00822B3A" w:rsidRPr="00DB6D42" w14:paraId="18F5247E" w14:textId="77777777" w:rsidTr="00DD6FAC">
        <w:trPr>
          <w:trHeight w:val="268"/>
          <w:jc w:val="center"/>
        </w:trPr>
        <w:tc>
          <w:tcPr>
            <w:tcW w:w="5445" w:type="dxa"/>
            <w:shd w:val="clear" w:color="auto" w:fill="auto"/>
          </w:tcPr>
          <w:p w14:paraId="3518C689" w14:textId="77777777" w:rsidR="00822B3A" w:rsidRPr="00DB6D42" w:rsidRDefault="00822B3A" w:rsidP="00BB5FF5">
            <w:pPr>
              <w:rPr>
                <w:rFonts w:cs="Arial"/>
                <w:lang w:val="en-US"/>
              </w:rPr>
            </w:pPr>
            <w:r w:rsidRPr="00DB6D42">
              <w:rPr>
                <w:rFonts w:cs="Arial"/>
                <w:lang w:val="en-US"/>
              </w:rPr>
              <w:t>Any TEAEs judged 'related' to treatment</w:t>
            </w:r>
          </w:p>
        </w:tc>
        <w:tc>
          <w:tcPr>
            <w:tcW w:w="1564" w:type="dxa"/>
            <w:shd w:val="clear" w:color="auto" w:fill="auto"/>
          </w:tcPr>
          <w:p w14:paraId="1285438C" w14:textId="528B1DA3" w:rsidR="00822B3A" w:rsidRPr="00DB6D42" w:rsidRDefault="00822B3A" w:rsidP="00BB5FF5">
            <w:pPr>
              <w:keepNext/>
              <w:adjustRightInd w:val="0"/>
              <w:jc w:val="center"/>
              <w:rPr>
                <w:rFonts w:cs="Arial"/>
                <w:color w:val="000000"/>
              </w:rPr>
            </w:pPr>
            <w:r w:rsidRPr="00DB6D42">
              <w:rPr>
                <w:rFonts w:cs="Arial"/>
                <w:color w:val="000000"/>
              </w:rPr>
              <w:t>14 (29</w:t>
            </w:r>
            <w:r w:rsidR="00D041F0" w:rsidRPr="00DB6D42">
              <w:rPr>
                <w:rFonts w:cs="Arial"/>
                <w:color w:val="000000"/>
              </w:rPr>
              <w:t>·</w:t>
            </w:r>
            <w:r w:rsidRPr="00DB6D42">
              <w:rPr>
                <w:rFonts w:cs="Arial"/>
                <w:color w:val="000000"/>
              </w:rPr>
              <w:t>8%) [17]</w:t>
            </w:r>
          </w:p>
        </w:tc>
        <w:tc>
          <w:tcPr>
            <w:tcW w:w="1422" w:type="dxa"/>
            <w:shd w:val="clear" w:color="auto" w:fill="auto"/>
          </w:tcPr>
          <w:p w14:paraId="1D7D1A2B" w14:textId="3DFCE4A9" w:rsidR="00822B3A" w:rsidRPr="00DB6D42" w:rsidRDefault="00822B3A" w:rsidP="00BB5FF5">
            <w:pPr>
              <w:keepNext/>
              <w:adjustRightInd w:val="0"/>
              <w:jc w:val="center"/>
              <w:rPr>
                <w:rFonts w:cs="Arial"/>
                <w:color w:val="000000"/>
              </w:rPr>
            </w:pPr>
            <w:r w:rsidRPr="00DB6D42">
              <w:rPr>
                <w:rFonts w:cs="Arial"/>
                <w:color w:val="000000"/>
              </w:rPr>
              <w:t>15 (31</w:t>
            </w:r>
            <w:r w:rsidR="00D041F0" w:rsidRPr="00DB6D42">
              <w:rPr>
                <w:rFonts w:cs="Arial"/>
                <w:color w:val="000000"/>
              </w:rPr>
              <w:t>·</w:t>
            </w:r>
            <w:r w:rsidRPr="00DB6D42">
              <w:rPr>
                <w:rFonts w:cs="Arial"/>
                <w:color w:val="000000"/>
              </w:rPr>
              <w:t>3%) [28]</w:t>
            </w:r>
          </w:p>
        </w:tc>
        <w:tc>
          <w:tcPr>
            <w:tcW w:w="1528" w:type="dxa"/>
            <w:gridSpan w:val="2"/>
            <w:shd w:val="clear" w:color="auto" w:fill="auto"/>
          </w:tcPr>
          <w:p w14:paraId="6361A1F6" w14:textId="29DCF732" w:rsidR="00822B3A" w:rsidRPr="00DB6D42" w:rsidRDefault="00822B3A" w:rsidP="00BB5FF5">
            <w:pPr>
              <w:keepNext/>
              <w:adjustRightInd w:val="0"/>
              <w:jc w:val="center"/>
              <w:rPr>
                <w:rFonts w:cs="Arial"/>
                <w:color w:val="000000"/>
              </w:rPr>
            </w:pPr>
            <w:r w:rsidRPr="00DB6D42">
              <w:rPr>
                <w:rFonts w:cs="Arial"/>
                <w:color w:val="000000"/>
              </w:rPr>
              <w:t>24 (52</w:t>
            </w:r>
            <w:r w:rsidR="00D041F0" w:rsidRPr="00DB6D42">
              <w:rPr>
                <w:rFonts w:cs="Arial"/>
                <w:color w:val="000000"/>
              </w:rPr>
              <w:t>·</w:t>
            </w:r>
            <w:r w:rsidRPr="00DB6D42">
              <w:rPr>
                <w:rFonts w:cs="Arial"/>
                <w:color w:val="000000"/>
              </w:rPr>
              <w:t>2%) [39]</w:t>
            </w:r>
          </w:p>
        </w:tc>
        <w:tc>
          <w:tcPr>
            <w:tcW w:w="1651" w:type="dxa"/>
            <w:shd w:val="clear" w:color="auto" w:fill="auto"/>
          </w:tcPr>
          <w:p w14:paraId="338F3901" w14:textId="1D03FDCD" w:rsidR="00822B3A" w:rsidRPr="00DB6D42" w:rsidRDefault="00822B3A" w:rsidP="00BB5FF5">
            <w:pPr>
              <w:keepNext/>
              <w:adjustRightInd w:val="0"/>
              <w:jc w:val="center"/>
              <w:rPr>
                <w:rFonts w:cs="Arial"/>
                <w:color w:val="000000"/>
              </w:rPr>
            </w:pPr>
            <w:r w:rsidRPr="00DB6D42">
              <w:rPr>
                <w:rFonts w:cs="Arial"/>
                <w:color w:val="000000"/>
              </w:rPr>
              <w:t>20 (44</w:t>
            </w:r>
            <w:r w:rsidR="00D041F0" w:rsidRPr="00DB6D42">
              <w:rPr>
                <w:rFonts w:cs="Arial"/>
                <w:color w:val="000000"/>
              </w:rPr>
              <w:t>·</w:t>
            </w:r>
            <w:r w:rsidRPr="00DB6D42">
              <w:rPr>
                <w:rFonts w:cs="Arial"/>
                <w:color w:val="000000"/>
              </w:rPr>
              <w:t>4%) [48]</w:t>
            </w:r>
          </w:p>
        </w:tc>
        <w:tc>
          <w:tcPr>
            <w:tcW w:w="1528" w:type="dxa"/>
            <w:shd w:val="clear" w:color="auto" w:fill="auto"/>
          </w:tcPr>
          <w:p w14:paraId="188A9EA7" w14:textId="3D2C63A3" w:rsidR="00822B3A" w:rsidRPr="00DB6D42" w:rsidRDefault="00822B3A" w:rsidP="00BB5FF5">
            <w:pPr>
              <w:keepNext/>
              <w:adjustRightInd w:val="0"/>
              <w:jc w:val="center"/>
              <w:rPr>
                <w:rFonts w:cs="Arial"/>
                <w:color w:val="000000"/>
              </w:rPr>
            </w:pPr>
            <w:r w:rsidRPr="00DB6D42">
              <w:rPr>
                <w:rFonts w:cs="Arial"/>
                <w:color w:val="000000"/>
              </w:rPr>
              <w:t>29 (64</w:t>
            </w:r>
            <w:r w:rsidR="00D041F0" w:rsidRPr="00DB6D42">
              <w:rPr>
                <w:rFonts w:cs="Arial"/>
                <w:color w:val="000000"/>
              </w:rPr>
              <w:t>·</w:t>
            </w:r>
            <w:r w:rsidRPr="00DB6D42">
              <w:rPr>
                <w:rFonts w:cs="Arial"/>
                <w:color w:val="000000"/>
              </w:rPr>
              <w:t>4%) [89]</w:t>
            </w:r>
          </w:p>
        </w:tc>
      </w:tr>
      <w:tr w:rsidR="00822B3A" w:rsidRPr="00DB6D42" w14:paraId="0C0468FC" w14:textId="77777777" w:rsidTr="00DD6FAC">
        <w:trPr>
          <w:trHeight w:val="285"/>
          <w:jc w:val="center"/>
        </w:trPr>
        <w:tc>
          <w:tcPr>
            <w:tcW w:w="5445" w:type="dxa"/>
            <w:tcBorders>
              <w:top w:val="single" w:sz="4" w:space="0" w:color="7F7F7F"/>
              <w:bottom w:val="single" w:sz="4" w:space="0" w:color="7F7F7F"/>
            </w:tcBorders>
            <w:shd w:val="clear" w:color="auto" w:fill="auto"/>
          </w:tcPr>
          <w:p w14:paraId="0F85B59E" w14:textId="77777777" w:rsidR="00822B3A" w:rsidRPr="00DB6D42" w:rsidRDefault="00822B3A" w:rsidP="00BB5FF5">
            <w:pPr>
              <w:rPr>
                <w:rFonts w:cs="Arial"/>
                <w:lang w:val="en-US"/>
              </w:rPr>
            </w:pPr>
            <w:r w:rsidRPr="00DB6D42">
              <w:rPr>
                <w:rFonts w:cs="Arial"/>
                <w:lang w:val="en-US"/>
              </w:rPr>
              <w:t>Any TEAEs resulting in treatment discontinuation</w:t>
            </w:r>
          </w:p>
        </w:tc>
        <w:tc>
          <w:tcPr>
            <w:tcW w:w="1564" w:type="dxa"/>
            <w:tcBorders>
              <w:top w:val="single" w:sz="4" w:space="0" w:color="7F7F7F"/>
              <w:bottom w:val="single" w:sz="4" w:space="0" w:color="7F7F7F"/>
            </w:tcBorders>
            <w:shd w:val="clear" w:color="auto" w:fill="auto"/>
          </w:tcPr>
          <w:p w14:paraId="17951896" w14:textId="6AF72699" w:rsidR="00822B3A" w:rsidRPr="00DB6D42" w:rsidRDefault="00822B3A" w:rsidP="00BB5FF5">
            <w:pPr>
              <w:keepNext/>
              <w:adjustRightInd w:val="0"/>
              <w:jc w:val="center"/>
              <w:rPr>
                <w:rFonts w:cs="Arial"/>
                <w:color w:val="000000"/>
              </w:rPr>
            </w:pPr>
            <w:r w:rsidRPr="00DB6D42">
              <w:rPr>
                <w:rFonts w:cs="Arial"/>
                <w:color w:val="000000"/>
              </w:rPr>
              <w:t>0 (0</w:t>
            </w:r>
            <w:r w:rsidR="00D041F0" w:rsidRPr="00DB6D42">
              <w:rPr>
                <w:rFonts w:cs="Arial"/>
                <w:color w:val="000000"/>
              </w:rPr>
              <w:t>·</w:t>
            </w:r>
            <w:r w:rsidRPr="00DB6D42">
              <w:rPr>
                <w:rFonts w:cs="Arial"/>
                <w:color w:val="000000"/>
              </w:rPr>
              <w:t>0%) [0]</w:t>
            </w:r>
          </w:p>
        </w:tc>
        <w:tc>
          <w:tcPr>
            <w:tcW w:w="1422" w:type="dxa"/>
            <w:tcBorders>
              <w:top w:val="single" w:sz="4" w:space="0" w:color="7F7F7F"/>
              <w:bottom w:val="single" w:sz="4" w:space="0" w:color="7F7F7F"/>
            </w:tcBorders>
            <w:shd w:val="clear" w:color="auto" w:fill="auto"/>
          </w:tcPr>
          <w:p w14:paraId="4DDCF015" w14:textId="2690B93D" w:rsidR="00822B3A" w:rsidRPr="00DB6D42" w:rsidRDefault="00822B3A" w:rsidP="00BB5FF5">
            <w:pPr>
              <w:keepNext/>
              <w:adjustRightInd w:val="0"/>
              <w:jc w:val="center"/>
              <w:rPr>
                <w:rFonts w:cs="Arial"/>
                <w:color w:val="000000"/>
              </w:rPr>
            </w:pPr>
            <w:r w:rsidRPr="00DB6D42">
              <w:rPr>
                <w:rFonts w:cs="Arial"/>
                <w:color w:val="000000"/>
              </w:rPr>
              <w:t>0 (0</w:t>
            </w:r>
            <w:r w:rsidR="00D041F0" w:rsidRPr="00DB6D42">
              <w:rPr>
                <w:rFonts w:cs="Arial"/>
                <w:color w:val="000000"/>
              </w:rPr>
              <w:t>·</w:t>
            </w:r>
            <w:r w:rsidRPr="00DB6D42">
              <w:rPr>
                <w:rFonts w:cs="Arial"/>
                <w:color w:val="000000"/>
              </w:rPr>
              <w:t>0%) [0]</w:t>
            </w:r>
          </w:p>
        </w:tc>
        <w:tc>
          <w:tcPr>
            <w:tcW w:w="1528" w:type="dxa"/>
            <w:gridSpan w:val="2"/>
            <w:tcBorders>
              <w:top w:val="single" w:sz="4" w:space="0" w:color="7F7F7F"/>
              <w:bottom w:val="single" w:sz="4" w:space="0" w:color="7F7F7F"/>
            </w:tcBorders>
            <w:shd w:val="clear" w:color="auto" w:fill="auto"/>
          </w:tcPr>
          <w:p w14:paraId="2FF33B4F" w14:textId="191F242B" w:rsidR="00822B3A" w:rsidRPr="00DB6D42" w:rsidRDefault="00822B3A" w:rsidP="00BB5FF5">
            <w:pPr>
              <w:keepNext/>
              <w:adjustRightInd w:val="0"/>
              <w:jc w:val="center"/>
              <w:rPr>
                <w:rFonts w:cs="Arial"/>
                <w:color w:val="000000"/>
              </w:rPr>
            </w:pPr>
            <w:r w:rsidRPr="00DB6D42">
              <w:rPr>
                <w:rFonts w:cs="Arial"/>
                <w:color w:val="000000"/>
              </w:rPr>
              <w:t>0 (0</w:t>
            </w:r>
            <w:r w:rsidR="00D041F0" w:rsidRPr="00DB6D42">
              <w:rPr>
                <w:rFonts w:cs="Arial"/>
                <w:color w:val="000000"/>
              </w:rPr>
              <w:t>·</w:t>
            </w:r>
            <w:r w:rsidRPr="00DB6D42">
              <w:rPr>
                <w:rFonts w:cs="Arial"/>
                <w:color w:val="000000"/>
              </w:rPr>
              <w:t>0%) [0]</w:t>
            </w:r>
          </w:p>
        </w:tc>
        <w:tc>
          <w:tcPr>
            <w:tcW w:w="1651" w:type="dxa"/>
            <w:tcBorders>
              <w:top w:val="single" w:sz="4" w:space="0" w:color="7F7F7F"/>
              <w:bottom w:val="single" w:sz="4" w:space="0" w:color="7F7F7F"/>
            </w:tcBorders>
            <w:shd w:val="clear" w:color="auto" w:fill="auto"/>
          </w:tcPr>
          <w:p w14:paraId="21370BD6" w14:textId="5ABB3247" w:rsidR="00822B3A" w:rsidRPr="00DB6D42" w:rsidRDefault="00822B3A" w:rsidP="00BB5FF5">
            <w:pPr>
              <w:keepNext/>
              <w:adjustRightInd w:val="0"/>
              <w:jc w:val="center"/>
              <w:rPr>
                <w:rFonts w:cs="Arial"/>
                <w:color w:val="000000"/>
              </w:rPr>
            </w:pPr>
            <w:r w:rsidRPr="00DB6D42">
              <w:rPr>
                <w:rFonts w:cs="Arial"/>
                <w:color w:val="000000"/>
              </w:rPr>
              <w:t>5 (11</w:t>
            </w:r>
            <w:r w:rsidR="00D041F0" w:rsidRPr="00DB6D42">
              <w:rPr>
                <w:rFonts w:cs="Arial"/>
                <w:color w:val="000000"/>
              </w:rPr>
              <w:t>·</w:t>
            </w:r>
            <w:r w:rsidRPr="00DB6D42">
              <w:rPr>
                <w:rFonts w:cs="Arial"/>
                <w:color w:val="000000"/>
              </w:rPr>
              <w:t>1%) [8]</w:t>
            </w:r>
            <w:r w:rsidRPr="00DB6D42">
              <w:rPr>
                <w:rFonts w:cs="Arial"/>
                <w:color w:val="000000"/>
                <w:vertAlign w:val="superscript"/>
              </w:rPr>
              <w:t>a</w:t>
            </w:r>
          </w:p>
        </w:tc>
        <w:tc>
          <w:tcPr>
            <w:tcW w:w="1528" w:type="dxa"/>
            <w:tcBorders>
              <w:top w:val="single" w:sz="4" w:space="0" w:color="7F7F7F"/>
              <w:bottom w:val="single" w:sz="4" w:space="0" w:color="7F7F7F"/>
            </w:tcBorders>
            <w:shd w:val="clear" w:color="auto" w:fill="auto"/>
          </w:tcPr>
          <w:p w14:paraId="57CDC4D1" w14:textId="5A84B185" w:rsidR="00822B3A" w:rsidRPr="00DB6D42" w:rsidRDefault="00822B3A" w:rsidP="00BB5FF5">
            <w:pPr>
              <w:keepNext/>
              <w:adjustRightInd w:val="0"/>
              <w:jc w:val="center"/>
              <w:rPr>
                <w:rFonts w:cs="Arial"/>
                <w:color w:val="000000"/>
              </w:rPr>
            </w:pPr>
            <w:r w:rsidRPr="00DB6D42">
              <w:rPr>
                <w:rFonts w:cs="Arial"/>
                <w:color w:val="000000"/>
              </w:rPr>
              <w:t>4 (8</w:t>
            </w:r>
            <w:r w:rsidR="00D041F0" w:rsidRPr="00DB6D42">
              <w:rPr>
                <w:rFonts w:cs="Arial"/>
                <w:color w:val="000000"/>
              </w:rPr>
              <w:t>·</w:t>
            </w:r>
            <w:r w:rsidRPr="00DB6D42">
              <w:rPr>
                <w:rFonts w:cs="Arial"/>
                <w:color w:val="000000"/>
              </w:rPr>
              <w:t>9%) [6]</w:t>
            </w:r>
            <w:r w:rsidRPr="00DB6D42">
              <w:rPr>
                <w:rFonts w:cs="Arial"/>
                <w:color w:val="000000"/>
                <w:vertAlign w:val="superscript"/>
              </w:rPr>
              <w:t xml:space="preserve"> b</w:t>
            </w:r>
          </w:p>
        </w:tc>
      </w:tr>
      <w:tr w:rsidR="00822B3A" w:rsidRPr="00DB6D42" w14:paraId="06619A08" w14:textId="77777777" w:rsidTr="00DD6FAC">
        <w:trPr>
          <w:trHeight w:val="285"/>
          <w:jc w:val="center"/>
        </w:trPr>
        <w:tc>
          <w:tcPr>
            <w:tcW w:w="5445" w:type="dxa"/>
            <w:shd w:val="clear" w:color="auto" w:fill="auto"/>
          </w:tcPr>
          <w:p w14:paraId="203C43F8" w14:textId="77777777" w:rsidR="00822B3A" w:rsidRPr="00DB6D42" w:rsidRDefault="00822B3A" w:rsidP="00BB5FF5">
            <w:pPr>
              <w:rPr>
                <w:rFonts w:cs="Arial"/>
                <w:lang w:val="en-US"/>
              </w:rPr>
            </w:pPr>
            <w:r w:rsidRPr="00DB6D42">
              <w:rPr>
                <w:rFonts w:cs="Arial"/>
                <w:lang w:val="en-US"/>
              </w:rPr>
              <w:t>Any Treatment Emergent  Serious Adverse Events (SAEs)</w:t>
            </w:r>
          </w:p>
        </w:tc>
        <w:tc>
          <w:tcPr>
            <w:tcW w:w="1564" w:type="dxa"/>
            <w:shd w:val="clear" w:color="auto" w:fill="auto"/>
          </w:tcPr>
          <w:p w14:paraId="43085251" w14:textId="2F9B3274" w:rsidR="00822B3A" w:rsidRPr="00DB6D42" w:rsidRDefault="00822B3A" w:rsidP="00BB5FF5">
            <w:pPr>
              <w:keepNext/>
              <w:adjustRightInd w:val="0"/>
              <w:jc w:val="center"/>
              <w:rPr>
                <w:rFonts w:cs="Arial"/>
                <w:color w:val="000000"/>
              </w:rPr>
            </w:pPr>
            <w:r w:rsidRPr="00DB6D42">
              <w:rPr>
                <w:rFonts w:cs="Arial"/>
                <w:color w:val="000000"/>
              </w:rPr>
              <w:t>0 (0</w:t>
            </w:r>
            <w:r w:rsidR="00D041F0" w:rsidRPr="00DB6D42">
              <w:rPr>
                <w:rFonts w:cs="Arial"/>
                <w:color w:val="000000"/>
              </w:rPr>
              <w:t>·</w:t>
            </w:r>
            <w:r w:rsidRPr="00DB6D42">
              <w:rPr>
                <w:rFonts w:cs="Arial"/>
                <w:color w:val="000000"/>
              </w:rPr>
              <w:t>0%) [0]</w:t>
            </w:r>
          </w:p>
        </w:tc>
        <w:tc>
          <w:tcPr>
            <w:tcW w:w="1422" w:type="dxa"/>
            <w:shd w:val="clear" w:color="auto" w:fill="auto"/>
          </w:tcPr>
          <w:p w14:paraId="314AC35F" w14:textId="6FEB5EA2" w:rsidR="00822B3A" w:rsidRPr="00DB6D42" w:rsidRDefault="00822B3A" w:rsidP="00BB5FF5">
            <w:pPr>
              <w:keepNext/>
              <w:adjustRightInd w:val="0"/>
              <w:jc w:val="center"/>
              <w:rPr>
                <w:rFonts w:cs="Arial"/>
                <w:color w:val="000000"/>
              </w:rPr>
            </w:pPr>
            <w:r w:rsidRPr="00DB6D42">
              <w:rPr>
                <w:rFonts w:cs="Arial"/>
                <w:color w:val="000000"/>
              </w:rPr>
              <w:t>0 (0</w:t>
            </w:r>
            <w:r w:rsidR="00D041F0" w:rsidRPr="00DB6D42">
              <w:rPr>
                <w:rFonts w:cs="Arial"/>
                <w:color w:val="000000"/>
              </w:rPr>
              <w:t>·</w:t>
            </w:r>
            <w:r w:rsidRPr="00DB6D42">
              <w:rPr>
                <w:rFonts w:cs="Arial"/>
                <w:color w:val="000000"/>
              </w:rPr>
              <w:t>0%) [0]</w:t>
            </w:r>
          </w:p>
        </w:tc>
        <w:tc>
          <w:tcPr>
            <w:tcW w:w="1528" w:type="dxa"/>
            <w:gridSpan w:val="2"/>
            <w:shd w:val="clear" w:color="auto" w:fill="auto"/>
          </w:tcPr>
          <w:p w14:paraId="1C35D41A" w14:textId="339A6C88" w:rsidR="00822B3A" w:rsidRPr="00DB6D42" w:rsidRDefault="00822B3A" w:rsidP="00BB5FF5">
            <w:pPr>
              <w:keepNext/>
              <w:adjustRightInd w:val="0"/>
              <w:jc w:val="center"/>
              <w:rPr>
                <w:rFonts w:cs="Arial"/>
                <w:color w:val="000000"/>
              </w:rPr>
            </w:pPr>
            <w:r w:rsidRPr="00DB6D42">
              <w:rPr>
                <w:rFonts w:cs="Arial"/>
                <w:color w:val="000000"/>
              </w:rPr>
              <w:t>1 (2</w:t>
            </w:r>
            <w:r w:rsidR="00D041F0" w:rsidRPr="00DB6D42">
              <w:rPr>
                <w:rFonts w:cs="Arial"/>
                <w:color w:val="000000"/>
              </w:rPr>
              <w:t>·</w:t>
            </w:r>
            <w:r w:rsidRPr="00DB6D42">
              <w:rPr>
                <w:rFonts w:cs="Arial"/>
                <w:color w:val="000000"/>
              </w:rPr>
              <w:t>2%) [1]</w:t>
            </w:r>
          </w:p>
        </w:tc>
        <w:tc>
          <w:tcPr>
            <w:tcW w:w="1651" w:type="dxa"/>
            <w:shd w:val="clear" w:color="auto" w:fill="auto"/>
          </w:tcPr>
          <w:p w14:paraId="5816B2F3" w14:textId="464264AA" w:rsidR="00822B3A" w:rsidRPr="00DB6D42" w:rsidRDefault="00822B3A" w:rsidP="00BB5FF5">
            <w:pPr>
              <w:keepNext/>
              <w:adjustRightInd w:val="0"/>
              <w:jc w:val="center"/>
              <w:rPr>
                <w:rFonts w:cs="Arial"/>
                <w:color w:val="000000"/>
              </w:rPr>
            </w:pPr>
            <w:r w:rsidRPr="00DB6D42">
              <w:rPr>
                <w:rFonts w:cs="Arial"/>
                <w:color w:val="000000"/>
              </w:rPr>
              <w:t>3 (6</w:t>
            </w:r>
            <w:r w:rsidR="00D041F0" w:rsidRPr="00DB6D42">
              <w:rPr>
                <w:rFonts w:cs="Arial"/>
                <w:color w:val="000000"/>
              </w:rPr>
              <w:t>·</w:t>
            </w:r>
            <w:r w:rsidRPr="00DB6D42">
              <w:rPr>
                <w:rFonts w:cs="Arial"/>
                <w:color w:val="000000"/>
              </w:rPr>
              <w:t>7%) [3]</w:t>
            </w:r>
          </w:p>
        </w:tc>
        <w:tc>
          <w:tcPr>
            <w:tcW w:w="1528" w:type="dxa"/>
            <w:shd w:val="clear" w:color="auto" w:fill="auto"/>
          </w:tcPr>
          <w:p w14:paraId="79DBF562" w14:textId="7C1C9DA1" w:rsidR="00822B3A" w:rsidRPr="00DB6D42" w:rsidRDefault="00822B3A" w:rsidP="00BB5FF5">
            <w:pPr>
              <w:keepNext/>
              <w:adjustRightInd w:val="0"/>
              <w:jc w:val="center"/>
              <w:rPr>
                <w:rFonts w:cs="Arial"/>
                <w:color w:val="000000"/>
              </w:rPr>
            </w:pPr>
            <w:r w:rsidRPr="00DB6D42">
              <w:rPr>
                <w:rFonts w:cs="Arial"/>
                <w:color w:val="000000"/>
              </w:rPr>
              <w:t>2 (4</w:t>
            </w:r>
            <w:r w:rsidR="00D041F0" w:rsidRPr="00DB6D42">
              <w:rPr>
                <w:rFonts w:cs="Arial"/>
                <w:color w:val="000000"/>
              </w:rPr>
              <w:t>·</w:t>
            </w:r>
            <w:r w:rsidRPr="00DB6D42">
              <w:rPr>
                <w:rFonts w:cs="Arial"/>
                <w:color w:val="000000"/>
              </w:rPr>
              <w:t>4%) [2]</w:t>
            </w:r>
          </w:p>
        </w:tc>
      </w:tr>
      <w:tr w:rsidR="00822B3A" w:rsidRPr="00DB6D42" w14:paraId="4646F80A" w14:textId="77777777" w:rsidTr="00DD6FAC">
        <w:trPr>
          <w:trHeight w:val="285"/>
          <w:jc w:val="center"/>
        </w:trPr>
        <w:tc>
          <w:tcPr>
            <w:tcW w:w="5445" w:type="dxa"/>
            <w:tcBorders>
              <w:top w:val="single" w:sz="4" w:space="0" w:color="7F7F7F"/>
              <w:bottom w:val="single" w:sz="4" w:space="0" w:color="7F7F7F"/>
            </w:tcBorders>
            <w:shd w:val="clear" w:color="auto" w:fill="auto"/>
          </w:tcPr>
          <w:p w14:paraId="695EC7E5" w14:textId="77777777" w:rsidR="00822B3A" w:rsidRPr="00DB6D42" w:rsidRDefault="00822B3A" w:rsidP="00BB5FF5">
            <w:pPr>
              <w:rPr>
                <w:rFonts w:cs="Arial"/>
                <w:lang w:val="en-US"/>
              </w:rPr>
            </w:pPr>
            <w:r w:rsidRPr="00DB6D42">
              <w:rPr>
                <w:rFonts w:cs="Arial"/>
                <w:lang w:val="en-US"/>
              </w:rPr>
              <w:t>Any Treatment Emergent SAEs judged 'related' to treatment</w:t>
            </w:r>
          </w:p>
        </w:tc>
        <w:tc>
          <w:tcPr>
            <w:tcW w:w="1564" w:type="dxa"/>
            <w:tcBorders>
              <w:top w:val="single" w:sz="4" w:space="0" w:color="7F7F7F"/>
              <w:bottom w:val="single" w:sz="4" w:space="0" w:color="7F7F7F"/>
            </w:tcBorders>
            <w:shd w:val="clear" w:color="auto" w:fill="auto"/>
          </w:tcPr>
          <w:p w14:paraId="742795B9" w14:textId="70D81B74" w:rsidR="00822B3A" w:rsidRPr="00DB6D42" w:rsidRDefault="00822B3A" w:rsidP="00BB5FF5">
            <w:pPr>
              <w:keepNext/>
              <w:adjustRightInd w:val="0"/>
              <w:jc w:val="center"/>
              <w:rPr>
                <w:rFonts w:cs="Arial"/>
                <w:color w:val="000000"/>
              </w:rPr>
            </w:pPr>
            <w:r w:rsidRPr="00DB6D42">
              <w:rPr>
                <w:rFonts w:cs="Arial"/>
                <w:color w:val="000000"/>
              </w:rPr>
              <w:t>0 (0</w:t>
            </w:r>
            <w:r w:rsidR="00D041F0" w:rsidRPr="00DB6D42">
              <w:rPr>
                <w:rFonts w:cs="Arial"/>
                <w:color w:val="000000"/>
              </w:rPr>
              <w:t>·</w:t>
            </w:r>
            <w:r w:rsidRPr="00DB6D42">
              <w:rPr>
                <w:rFonts w:cs="Arial"/>
                <w:color w:val="000000"/>
              </w:rPr>
              <w:t>0%) [0]</w:t>
            </w:r>
          </w:p>
        </w:tc>
        <w:tc>
          <w:tcPr>
            <w:tcW w:w="1422" w:type="dxa"/>
            <w:tcBorders>
              <w:top w:val="single" w:sz="4" w:space="0" w:color="7F7F7F"/>
              <w:bottom w:val="single" w:sz="4" w:space="0" w:color="7F7F7F"/>
            </w:tcBorders>
            <w:shd w:val="clear" w:color="auto" w:fill="auto"/>
          </w:tcPr>
          <w:p w14:paraId="2DA7CBE0" w14:textId="2DA2159F" w:rsidR="00822B3A" w:rsidRPr="00DB6D42" w:rsidRDefault="00822B3A" w:rsidP="00BB5FF5">
            <w:pPr>
              <w:keepNext/>
              <w:adjustRightInd w:val="0"/>
              <w:jc w:val="center"/>
              <w:rPr>
                <w:rFonts w:cs="Arial"/>
                <w:color w:val="000000"/>
              </w:rPr>
            </w:pPr>
            <w:r w:rsidRPr="00DB6D42">
              <w:rPr>
                <w:rFonts w:cs="Arial"/>
                <w:color w:val="000000"/>
              </w:rPr>
              <w:t>0 (0</w:t>
            </w:r>
            <w:r w:rsidR="00D041F0" w:rsidRPr="00DB6D42">
              <w:rPr>
                <w:rFonts w:cs="Arial"/>
                <w:color w:val="000000"/>
              </w:rPr>
              <w:t>·</w:t>
            </w:r>
            <w:r w:rsidRPr="00DB6D42">
              <w:rPr>
                <w:rFonts w:cs="Arial"/>
                <w:color w:val="000000"/>
              </w:rPr>
              <w:t>0%) [0]</w:t>
            </w:r>
          </w:p>
        </w:tc>
        <w:tc>
          <w:tcPr>
            <w:tcW w:w="1528" w:type="dxa"/>
            <w:gridSpan w:val="2"/>
            <w:tcBorders>
              <w:top w:val="single" w:sz="4" w:space="0" w:color="7F7F7F"/>
              <w:bottom w:val="single" w:sz="4" w:space="0" w:color="7F7F7F"/>
            </w:tcBorders>
            <w:shd w:val="clear" w:color="auto" w:fill="auto"/>
          </w:tcPr>
          <w:p w14:paraId="194518FC" w14:textId="3E243E91" w:rsidR="00822B3A" w:rsidRPr="00DB6D42" w:rsidRDefault="00822B3A" w:rsidP="00BB5FF5">
            <w:pPr>
              <w:keepNext/>
              <w:adjustRightInd w:val="0"/>
              <w:jc w:val="center"/>
              <w:rPr>
                <w:rFonts w:cs="Arial"/>
                <w:color w:val="000000"/>
              </w:rPr>
            </w:pPr>
            <w:r w:rsidRPr="00DB6D42">
              <w:rPr>
                <w:rFonts w:cs="Arial"/>
                <w:color w:val="000000"/>
              </w:rPr>
              <w:t>0 (0</w:t>
            </w:r>
            <w:r w:rsidR="00D041F0" w:rsidRPr="00DB6D42">
              <w:rPr>
                <w:rFonts w:cs="Arial"/>
                <w:color w:val="000000"/>
              </w:rPr>
              <w:t>·</w:t>
            </w:r>
            <w:r w:rsidRPr="00DB6D42">
              <w:rPr>
                <w:rFonts w:cs="Arial"/>
                <w:color w:val="000000"/>
              </w:rPr>
              <w:t>0%) [0]</w:t>
            </w:r>
          </w:p>
        </w:tc>
        <w:tc>
          <w:tcPr>
            <w:tcW w:w="1651" w:type="dxa"/>
            <w:tcBorders>
              <w:top w:val="single" w:sz="4" w:space="0" w:color="7F7F7F"/>
              <w:bottom w:val="single" w:sz="4" w:space="0" w:color="7F7F7F"/>
            </w:tcBorders>
            <w:shd w:val="clear" w:color="auto" w:fill="auto"/>
          </w:tcPr>
          <w:p w14:paraId="0ADC2F67" w14:textId="0F81174C" w:rsidR="00822B3A" w:rsidRPr="00DB6D42" w:rsidRDefault="00822B3A" w:rsidP="00BB5FF5">
            <w:pPr>
              <w:keepNext/>
              <w:adjustRightInd w:val="0"/>
              <w:jc w:val="center"/>
              <w:rPr>
                <w:rFonts w:cs="Arial"/>
                <w:color w:val="000000"/>
              </w:rPr>
            </w:pPr>
            <w:r w:rsidRPr="00DB6D42">
              <w:rPr>
                <w:rFonts w:cs="Arial"/>
                <w:color w:val="000000"/>
              </w:rPr>
              <w:t>2 (4</w:t>
            </w:r>
            <w:r w:rsidR="00D041F0" w:rsidRPr="00DB6D42">
              <w:rPr>
                <w:rFonts w:cs="Arial"/>
                <w:color w:val="000000"/>
              </w:rPr>
              <w:t>·</w:t>
            </w:r>
            <w:r w:rsidRPr="00DB6D42">
              <w:rPr>
                <w:rFonts w:cs="Arial"/>
                <w:color w:val="000000"/>
              </w:rPr>
              <w:t>4%) [2]</w:t>
            </w:r>
          </w:p>
        </w:tc>
        <w:tc>
          <w:tcPr>
            <w:tcW w:w="1528" w:type="dxa"/>
            <w:tcBorders>
              <w:top w:val="single" w:sz="4" w:space="0" w:color="7F7F7F"/>
              <w:bottom w:val="single" w:sz="4" w:space="0" w:color="7F7F7F"/>
            </w:tcBorders>
            <w:shd w:val="clear" w:color="auto" w:fill="auto"/>
          </w:tcPr>
          <w:p w14:paraId="3C132A35" w14:textId="6667712F" w:rsidR="00822B3A" w:rsidRPr="00DB6D42" w:rsidRDefault="00822B3A" w:rsidP="00BB5FF5">
            <w:pPr>
              <w:keepNext/>
              <w:adjustRightInd w:val="0"/>
              <w:jc w:val="center"/>
              <w:rPr>
                <w:rFonts w:cs="Arial"/>
                <w:color w:val="000000"/>
              </w:rPr>
            </w:pPr>
            <w:r w:rsidRPr="00DB6D42">
              <w:rPr>
                <w:rFonts w:cs="Arial"/>
                <w:color w:val="000000"/>
              </w:rPr>
              <w:t>0 (0</w:t>
            </w:r>
            <w:r w:rsidR="00D041F0" w:rsidRPr="00DB6D42">
              <w:rPr>
                <w:rFonts w:cs="Arial"/>
                <w:color w:val="000000"/>
              </w:rPr>
              <w:t>·</w:t>
            </w:r>
            <w:r w:rsidRPr="00DB6D42">
              <w:rPr>
                <w:rFonts w:cs="Arial"/>
                <w:color w:val="000000"/>
              </w:rPr>
              <w:t>0%) [0]</w:t>
            </w:r>
          </w:p>
        </w:tc>
      </w:tr>
      <w:tr w:rsidR="00822B3A" w:rsidRPr="00DB6D42" w14:paraId="0A99D8FC" w14:textId="77777777" w:rsidTr="00DD6FAC">
        <w:trPr>
          <w:trHeight w:val="580"/>
          <w:jc w:val="center"/>
        </w:trPr>
        <w:tc>
          <w:tcPr>
            <w:tcW w:w="5445" w:type="dxa"/>
            <w:shd w:val="clear" w:color="auto" w:fill="auto"/>
          </w:tcPr>
          <w:p w14:paraId="2BA667BC" w14:textId="77777777" w:rsidR="00822B3A" w:rsidRPr="00DB6D42" w:rsidRDefault="00822B3A" w:rsidP="00BB5FF5">
            <w:pPr>
              <w:rPr>
                <w:rFonts w:cs="Arial"/>
              </w:rPr>
            </w:pPr>
            <w:r w:rsidRPr="00DB6D42">
              <w:rPr>
                <w:rFonts w:cs="Arial"/>
              </w:rPr>
              <w:t>Any Deaths</w:t>
            </w:r>
          </w:p>
        </w:tc>
        <w:tc>
          <w:tcPr>
            <w:tcW w:w="1564" w:type="dxa"/>
            <w:shd w:val="clear" w:color="auto" w:fill="auto"/>
          </w:tcPr>
          <w:p w14:paraId="29E65171" w14:textId="296E0938" w:rsidR="00822B3A" w:rsidRPr="00DB6D42" w:rsidRDefault="00822B3A" w:rsidP="00BB5FF5">
            <w:pPr>
              <w:keepNext/>
              <w:adjustRightInd w:val="0"/>
              <w:jc w:val="center"/>
              <w:rPr>
                <w:rFonts w:cs="Arial"/>
                <w:color w:val="000000"/>
              </w:rPr>
            </w:pPr>
            <w:r w:rsidRPr="00DB6D42">
              <w:rPr>
                <w:rFonts w:cs="Arial"/>
                <w:color w:val="000000"/>
              </w:rPr>
              <w:t>0 (0</w:t>
            </w:r>
            <w:r w:rsidR="00D041F0" w:rsidRPr="00DB6D42">
              <w:rPr>
                <w:rFonts w:cs="Arial"/>
                <w:color w:val="000000"/>
              </w:rPr>
              <w:t>·</w:t>
            </w:r>
            <w:r w:rsidRPr="00DB6D42">
              <w:rPr>
                <w:rFonts w:cs="Arial"/>
                <w:color w:val="000000"/>
              </w:rPr>
              <w:t>0%) [0]</w:t>
            </w:r>
          </w:p>
        </w:tc>
        <w:tc>
          <w:tcPr>
            <w:tcW w:w="1422" w:type="dxa"/>
            <w:shd w:val="clear" w:color="auto" w:fill="auto"/>
          </w:tcPr>
          <w:p w14:paraId="03CF3418" w14:textId="7D646775" w:rsidR="00822B3A" w:rsidRPr="00DB6D42" w:rsidRDefault="00822B3A" w:rsidP="00BB5FF5">
            <w:pPr>
              <w:keepNext/>
              <w:adjustRightInd w:val="0"/>
              <w:jc w:val="center"/>
              <w:rPr>
                <w:rFonts w:cs="Arial"/>
                <w:color w:val="000000"/>
              </w:rPr>
            </w:pPr>
            <w:r w:rsidRPr="00DB6D42">
              <w:rPr>
                <w:rFonts w:cs="Arial"/>
                <w:color w:val="000000"/>
              </w:rPr>
              <w:t>0 (0</w:t>
            </w:r>
            <w:r w:rsidR="00D041F0" w:rsidRPr="00DB6D42">
              <w:rPr>
                <w:rFonts w:cs="Arial"/>
                <w:color w:val="000000"/>
              </w:rPr>
              <w:t>·</w:t>
            </w:r>
            <w:r w:rsidRPr="00DB6D42">
              <w:rPr>
                <w:rFonts w:cs="Arial"/>
                <w:color w:val="000000"/>
              </w:rPr>
              <w:t>0%) [0]</w:t>
            </w:r>
          </w:p>
        </w:tc>
        <w:tc>
          <w:tcPr>
            <w:tcW w:w="1528" w:type="dxa"/>
            <w:gridSpan w:val="2"/>
            <w:shd w:val="clear" w:color="auto" w:fill="auto"/>
          </w:tcPr>
          <w:p w14:paraId="3F0E409B" w14:textId="0FE1E39A" w:rsidR="00822B3A" w:rsidRPr="00DB6D42" w:rsidRDefault="00822B3A" w:rsidP="00BB5FF5">
            <w:pPr>
              <w:keepNext/>
              <w:adjustRightInd w:val="0"/>
              <w:jc w:val="center"/>
              <w:rPr>
                <w:rFonts w:cs="Arial"/>
                <w:color w:val="000000"/>
              </w:rPr>
            </w:pPr>
            <w:r w:rsidRPr="00DB6D42">
              <w:rPr>
                <w:rFonts w:cs="Arial"/>
                <w:color w:val="000000"/>
              </w:rPr>
              <w:t>0 (0</w:t>
            </w:r>
            <w:r w:rsidR="00D041F0" w:rsidRPr="00DB6D42">
              <w:rPr>
                <w:rFonts w:cs="Arial"/>
                <w:color w:val="000000"/>
              </w:rPr>
              <w:t>·</w:t>
            </w:r>
            <w:r w:rsidRPr="00DB6D42">
              <w:rPr>
                <w:rFonts w:cs="Arial"/>
                <w:color w:val="000000"/>
              </w:rPr>
              <w:t>0%) [0]</w:t>
            </w:r>
          </w:p>
        </w:tc>
        <w:tc>
          <w:tcPr>
            <w:tcW w:w="1651" w:type="dxa"/>
            <w:shd w:val="clear" w:color="auto" w:fill="auto"/>
          </w:tcPr>
          <w:p w14:paraId="20D14384" w14:textId="67E5343B" w:rsidR="00822B3A" w:rsidRPr="00DB6D42" w:rsidRDefault="00822B3A" w:rsidP="00BB5FF5">
            <w:pPr>
              <w:keepNext/>
              <w:adjustRightInd w:val="0"/>
              <w:jc w:val="center"/>
              <w:rPr>
                <w:rFonts w:cs="Arial"/>
                <w:color w:val="000000"/>
              </w:rPr>
            </w:pPr>
            <w:r w:rsidRPr="00DB6D42">
              <w:rPr>
                <w:rFonts w:cs="Arial"/>
                <w:color w:val="000000"/>
              </w:rPr>
              <w:t>0 (0</w:t>
            </w:r>
            <w:r w:rsidR="00D041F0" w:rsidRPr="00DB6D42">
              <w:rPr>
                <w:rFonts w:cs="Arial"/>
                <w:color w:val="000000"/>
              </w:rPr>
              <w:t>·</w:t>
            </w:r>
            <w:r w:rsidRPr="00DB6D42">
              <w:rPr>
                <w:rFonts w:cs="Arial"/>
                <w:color w:val="000000"/>
              </w:rPr>
              <w:t>0%) [0]</w:t>
            </w:r>
          </w:p>
        </w:tc>
        <w:tc>
          <w:tcPr>
            <w:tcW w:w="1528" w:type="dxa"/>
            <w:shd w:val="clear" w:color="auto" w:fill="auto"/>
          </w:tcPr>
          <w:p w14:paraId="1717E431" w14:textId="5F11987E" w:rsidR="00822B3A" w:rsidRPr="00DB6D42" w:rsidRDefault="00822B3A" w:rsidP="00BB5FF5">
            <w:pPr>
              <w:keepNext/>
              <w:adjustRightInd w:val="0"/>
              <w:jc w:val="center"/>
              <w:rPr>
                <w:rFonts w:cs="Arial"/>
                <w:color w:val="000000"/>
              </w:rPr>
            </w:pPr>
            <w:r w:rsidRPr="00DB6D42">
              <w:rPr>
                <w:rFonts w:cs="Arial"/>
                <w:color w:val="000000"/>
              </w:rPr>
              <w:t>0 (0</w:t>
            </w:r>
            <w:r w:rsidR="00D041F0" w:rsidRPr="00DB6D42">
              <w:rPr>
                <w:rFonts w:cs="Arial"/>
                <w:color w:val="000000"/>
              </w:rPr>
              <w:t>·</w:t>
            </w:r>
            <w:r w:rsidRPr="00DB6D42">
              <w:rPr>
                <w:rFonts w:cs="Arial"/>
                <w:color w:val="000000"/>
              </w:rPr>
              <w:t>0%) [0]</w:t>
            </w:r>
          </w:p>
        </w:tc>
      </w:tr>
    </w:tbl>
    <w:p w14:paraId="4B260354" w14:textId="41140A8A" w:rsidR="00292F0F" w:rsidRPr="00DB6D42" w:rsidRDefault="00292F0F" w:rsidP="00BB5FF5">
      <w:pPr>
        <w:ind w:left="540"/>
        <w:rPr>
          <w:sz w:val="20"/>
          <w:szCs w:val="20"/>
          <w:lang w:val="en-US"/>
        </w:rPr>
      </w:pPr>
      <w:r w:rsidRPr="00DB6D42">
        <w:rPr>
          <w:rFonts w:ascii="Arial Narrow" w:hAnsi="Arial Narrow" w:cs="Courier"/>
          <w:bCs/>
          <w:color w:val="000000"/>
          <w:lang w:val="en-US"/>
        </w:rPr>
        <w:t>Presented: number of patients (percent of patients) [number of events]</w:t>
      </w:r>
      <w:r w:rsidRPr="00DB6D42">
        <w:rPr>
          <w:rFonts w:ascii="Arial Narrow" w:hAnsi="Arial Narrow" w:cs="Courier"/>
          <w:bCs/>
          <w:color w:val="000000"/>
          <w:lang w:val="en-US"/>
        </w:rPr>
        <w:br/>
      </w:r>
      <w:r w:rsidRPr="00DB6D42">
        <w:rPr>
          <w:sz w:val="20"/>
          <w:szCs w:val="20"/>
          <w:vertAlign w:val="superscript"/>
          <w:lang w:val="en-US"/>
        </w:rPr>
        <w:t xml:space="preserve">a </w:t>
      </w:r>
      <w:r w:rsidRPr="00DB6D42">
        <w:rPr>
          <w:sz w:val="20"/>
          <w:szCs w:val="20"/>
          <w:lang w:val="en-US"/>
        </w:rPr>
        <w:t xml:space="preserve">TEAEs leading to drug discontinuation: one with infective </w:t>
      </w:r>
      <w:r w:rsidR="0027341A" w:rsidRPr="00DB6D42">
        <w:rPr>
          <w:sz w:val="20"/>
          <w:szCs w:val="20"/>
          <w:lang w:val="en-US"/>
        </w:rPr>
        <w:t>cholecystitis that</w:t>
      </w:r>
      <w:r w:rsidRPr="00DB6D42">
        <w:rPr>
          <w:sz w:val="20"/>
          <w:szCs w:val="20"/>
          <w:lang w:val="en-US"/>
        </w:rPr>
        <w:t xml:space="preserve"> showed also increased ALT, AST and GGT). Two patients presented increased ALT and two patients presented increased AST.</w:t>
      </w:r>
    </w:p>
    <w:p w14:paraId="0C5A87CF" w14:textId="77777777" w:rsidR="00292F0F" w:rsidRDefault="00292F0F" w:rsidP="00BB5FF5">
      <w:pPr>
        <w:ind w:left="540"/>
        <w:jc w:val="both"/>
        <w:rPr>
          <w:sz w:val="20"/>
          <w:szCs w:val="20"/>
          <w:lang w:val="en-US"/>
        </w:rPr>
      </w:pPr>
      <w:r w:rsidRPr="00DB6D42">
        <w:rPr>
          <w:sz w:val="20"/>
          <w:szCs w:val="20"/>
          <w:vertAlign w:val="superscript"/>
          <w:lang w:val="en-US"/>
        </w:rPr>
        <w:t xml:space="preserve">b </w:t>
      </w:r>
      <w:r w:rsidRPr="00DB6D42">
        <w:rPr>
          <w:sz w:val="20"/>
          <w:szCs w:val="20"/>
          <w:lang w:val="en-US"/>
        </w:rPr>
        <w:t>TEAEs leading to drug discontinuation: four with hypersensitivity, and one among them with ALT increased</w:t>
      </w:r>
    </w:p>
    <w:p w14:paraId="0818BEF5" w14:textId="77777777" w:rsidR="00292F0F" w:rsidRDefault="00292F0F" w:rsidP="00BB5FF5">
      <w:pPr>
        <w:jc w:val="both"/>
        <w:rPr>
          <w:sz w:val="20"/>
          <w:szCs w:val="20"/>
          <w:lang w:val="en-US"/>
        </w:rPr>
      </w:pPr>
    </w:p>
    <w:p w14:paraId="38627DAB" w14:textId="4ECDF49A" w:rsidR="00FA6AB2" w:rsidRPr="00FB577A" w:rsidRDefault="00FA6AB2" w:rsidP="00BB5FF5">
      <w:pPr>
        <w:spacing w:before="80" w:after="80"/>
        <w:jc w:val="both"/>
        <w:rPr>
          <w:rFonts w:cs="Arial"/>
          <w:color w:val="000000"/>
          <w:sz w:val="18"/>
          <w:szCs w:val="18"/>
          <w:lang w:val="en-US"/>
        </w:rPr>
      </w:pPr>
    </w:p>
    <w:sectPr w:rsidR="00FA6AB2" w:rsidRPr="00FB577A" w:rsidSect="009059E7">
      <w:pgSz w:w="16840" w:h="11901" w:orient="landscape"/>
      <w:pgMar w:top="1797" w:right="1440" w:bottom="1797" w:left="144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1947" w14:textId="77777777" w:rsidR="00826F6A" w:rsidRDefault="00826F6A" w:rsidP="00C73938">
      <w:pPr>
        <w:spacing w:after="0"/>
      </w:pPr>
      <w:r>
        <w:separator/>
      </w:r>
    </w:p>
  </w:endnote>
  <w:endnote w:type="continuationSeparator" w:id="0">
    <w:p w14:paraId="4C603D7B" w14:textId="77777777" w:rsidR="00826F6A" w:rsidRDefault="00826F6A" w:rsidP="00C73938">
      <w:pPr>
        <w:spacing w:after="0"/>
      </w:pPr>
      <w:r>
        <w:continuationSeparator/>
      </w:r>
    </w:p>
  </w:endnote>
  <w:endnote w:type="continuationNotice" w:id="1">
    <w:p w14:paraId="209EE0AD" w14:textId="77777777" w:rsidR="00826F6A" w:rsidRDefault="00826F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E8B4" w14:textId="77777777" w:rsidR="00BF217F" w:rsidRDefault="00BF217F" w:rsidP="003A2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61190" w14:textId="77777777" w:rsidR="00BF217F" w:rsidRDefault="00BF217F" w:rsidP="00C73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214D" w14:textId="70053DED" w:rsidR="00BF217F" w:rsidRDefault="00BF217F" w:rsidP="003A2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4DDB">
      <w:rPr>
        <w:rStyle w:val="PageNumber"/>
        <w:noProof/>
      </w:rPr>
      <w:t>20</w:t>
    </w:r>
    <w:r>
      <w:rPr>
        <w:rStyle w:val="PageNumber"/>
      </w:rPr>
      <w:fldChar w:fldCharType="end"/>
    </w:r>
  </w:p>
  <w:p w14:paraId="0E2E7199" w14:textId="77777777" w:rsidR="00BF217F" w:rsidRDefault="00BF217F" w:rsidP="00C739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A83A" w14:textId="77777777" w:rsidR="00A07B93" w:rsidRDefault="00A07B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E0B" w14:textId="578AA0C6" w:rsidR="00BF217F" w:rsidRDefault="00BF217F" w:rsidP="003A2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4DDB">
      <w:rPr>
        <w:rStyle w:val="PageNumber"/>
        <w:noProof/>
      </w:rPr>
      <w:t>21</w:t>
    </w:r>
    <w:r>
      <w:rPr>
        <w:rStyle w:val="PageNumber"/>
      </w:rPr>
      <w:fldChar w:fldCharType="end"/>
    </w:r>
  </w:p>
  <w:p w14:paraId="527878D3" w14:textId="77777777" w:rsidR="00BF217F" w:rsidRPr="00DD6FAC" w:rsidRDefault="00BF217F" w:rsidP="00C73938">
    <w:pPr>
      <w:pStyle w:val="Footer"/>
      <w:ind w:right="360"/>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0E11" w14:textId="66AEE188" w:rsidR="00BF217F" w:rsidRDefault="00BF217F" w:rsidP="003A2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4DDB">
      <w:rPr>
        <w:rStyle w:val="PageNumber"/>
        <w:noProof/>
      </w:rPr>
      <w:t>26</w:t>
    </w:r>
    <w:r>
      <w:rPr>
        <w:rStyle w:val="PageNumber"/>
      </w:rPr>
      <w:fldChar w:fldCharType="end"/>
    </w:r>
  </w:p>
  <w:p w14:paraId="6C124339" w14:textId="77777777" w:rsidR="00BF217F" w:rsidRPr="00DD6FAC" w:rsidRDefault="00BF217F" w:rsidP="00C73938">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3737" w14:textId="77777777" w:rsidR="00826F6A" w:rsidRDefault="00826F6A" w:rsidP="00C73938">
      <w:pPr>
        <w:spacing w:after="0"/>
      </w:pPr>
      <w:r>
        <w:separator/>
      </w:r>
    </w:p>
  </w:footnote>
  <w:footnote w:type="continuationSeparator" w:id="0">
    <w:p w14:paraId="01D16910" w14:textId="77777777" w:rsidR="00826F6A" w:rsidRDefault="00826F6A" w:rsidP="00C73938">
      <w:pPr>
        <w:spacing w:after="0"/>
      </w:pPr>
      <w:r>
        <w:continuationSeparator/>
      </w:r>
    </w:p>
  </w:footnote>
  <w:footnote w:type="continuationNotice" w:id="1">
    <w:p w14:paraId="0A57844A" w14:textId="77777777" w:rsidR="00826F6A" w:rsidRDefault="00826F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DB93" w14:textId="77777777" w:rsidR="00A07B93" w:rsidRDefault="00A07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01BF" w14:textId="47D1F72F" w:rsidR="00BF217F" w:rsidRDefault="00A07B93" w:rsidP="00DD6FAC">
    <w:pPr>
      <w:pStyle w:val="Header"/>
      <w:tabs>
        <w:tab w:val="clear" w:pos="4320"/>
        <w:tab w:val="clear" w:pos="8640"/>
        <w:tab w:val="left" w:pos="3150"/>
      </w:tabs>
    </w:pPr>
    <w:r>
      <w:rPr>
        <w:i/>
        <w:iCs/>
        <w:lang w:val="en-US"/>
      </w:rPr>
      <w:t>Pre-publication manuscript accepted for publication by Lancet Infectious Disease</w:t>
    </w:r>
    <w:r w:rsidR="00BF217F">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064E" w14:textId="77777777" w:rsidR="00A07B93" w:rsidRDefault="00A07B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040D" w14:textId="77777777" w:rsidR="00BF217F" w:rsidRDefault="00BF217F">
    <w:pPr>
      <w:pStyle w:val="Header"/>
      <w:rPr>
        <w:lang w:val="en-US"/>
      </w:rPr>
    </w:pPr>
  </w:p>
  <w:p w14:paraId="4BDF2656" w14:textId="77777777" w:rsidR="00BF217F" w:rsidRPr="00DD6FAC" w:rsidRDefault="00BF217F">
    <w:pPr>
      <w:pStyle w:val="Header"/>
      <w:rPr>
        <w:b/>
        <w:lang w:val="en-US"/>
      </w:rPr>
    </w:pPr>
    <w:r w:rsidRPr="00DD6FAC">
      <w:rPr>
        <w:b/>
        <w:lang w:val="en-US"/>
      </w:rPr>
      <w:t>Tables and Figures</w:t>
    </w:r>
  </w:p>
  <w:p w14:paraId="4ACE9340" w14:textId="38E520C6" w:rsidR="00BF217F" w:rsidRDefault="00BF217F" w:rsidP="00DD6FAC">
    <w:pPr>
      <w:pStyle w:val="Header"/>
      <w:tabs>
        <w:tab w:val="clear" w:pos="4320"/>
        <w:tab w:val="clear" w:pos="8640"/>
        <w:tab w:val="left" w:pos="3150"/>
      </w:tabs>
    </w:pPr>
    <w:r>
      <w:rPr>
        <w:lang w:val="en-US"/>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F3F1" w14:textId="77777777" w:rsidR="00BF217F" w:rsidRDefault="00BF217F">
    <w:pPr>
      <w:pStyle w:val="Header"/>
      <w:rPr>
        <w:lang w:val="en-US"/>
      </w:rPr>
    </w:pPr>
  </w:p>
  <w:p w14:paraId="3F360831" w14:textId="15B1C34F" w:rsidR="00BF217F" w:rsidRDefault="00BF217F" w:rsidP="00DD6FAC">
    <w:pPr>
      <w:pStyle w:val="Header"/>
      <w:tabs>
        <w:tab w:val="clear" w:pos="4320"/>
        <w:tab w:val="clear" w:pos="8640"/>
        <w:tab w:val="left" w:pos="3150"/>
      </w:tabs>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25pt;height:5.25pt" o:bullet="t">
        <v:imagedata r:id="rId1" o:title=""/>
      </v:shape>
    </w:pict>
  </w:numPicBullet>
  <w:abstractNum w:abstractNumId="0" w15:restartNumberingAfterBreak="0">
    <w:nsid w:val="FFFFFF1D"/>
    <w:multiLevelType w:val="multilevel"/>
    <w:tmpl w:val="BA7CA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040E6"/>
    <w:multiLevelType w:val="multilevel"/>
    <w:tmpl w:val="FD3EDB5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0C8C79AD"/>
    <w:multiLevelType w:val="hybridMultilevel"/>
    <w:tmpl w:val="D4B00D72"/>
    <w:lvl w:ilvl="0" w:tplc="0A248A92">
      <w:start w:val="1"/>
      <w:numFmt w:val="bullet"/>
      <w:lvlText w:val=""/>
      <w:lvlJc w:val="left"/>
      <w:pPr>
        <w:tabs>
          <w:tab w:val="num" w:pos="1065"/>
        </w:tabs>
        <w:ind w:left="1065" w:hanging="360"/>
      </w:pPr>
      <w:rPr>
        <w:rFonts w:ascii="Symbol" w:hAnsi="Symbol" w:hint="default"/>
      </w:rPr>
    </w:lvl>
    <w:lvl w:ilvl="1" w:tplc="76F89F08" w:tentative="1">
      <w:start w:val="1"/>
      <w:numFmt w:val="bullet"/>
      <w:lvlText w:val="o"/>
      <w:lvlJc w:val="left"/>
      <w:pPr>
        <w:tabs>
          <w:tab w:val="num" w:pos="1785"/>
        </w:tabs>
        <w:ind w:left="1785" w:hanging="360"/>
      </w:pPr>
      <w:rPr>
        <w:rFonts w:ascii="Courier New" w:hAnsi="Courier New" w:hint="default"/>
      </w:rPr>
    </w:lvl>
    <w:lvl w:ilvl="2" w:tplc="8E64238C" w:tentative="1">
      <w:start w:val="1"/>
      <w:numFmt w:val="bullet"/>
      <w:lvlText w:val=""/>
      <w:lvlJc w:val="left"/>
      <w:pPr>
        <w:tabs>
          <w:tab w:val="num" w:pos="2505"/>
        </w:tabs>
        <w:ind w:left="2505" w:hanging="360"/>
      </w:pPr>
      <w:rPr>
        <w:rFonts w:ascii="Wingdings" w:hAnsi="Wingdings" w:hint="default"/>
      </w:rPr>
    </w:lvl>
    <w:lvl w:ilvl="3" w:tplc="F988675A" w:tentative="1">
      <w:start w:val="1"/>
      <w:numFmt w:val="bullet"/>
      <w:lvlText w:val=""/>
      <w:lvlJc w:val="left"/>
      <w:pPr>
        <w:tabs>
          <w:tab w:val="num" w:pos="3225"/>
        </w:tabs>
        <w:ind w:left="3225" w:hanging="360"/>
      </w:pPr>
      <w:rPr>
        <w:rFonts w:ascii="Symbol" w:hAnsi="Symbol" w:hint="default"/>
      </w:rPr>
    </w:lvl>
    <w:lvl w:ilvl="4" w:tplc="5206119A" w:tentative="1">
      <w:start w:val="1"/>
      <w:numFmt w:val="bullet"/>
      <w:lvlText w:val="o"/>
      <w:lvlJc w:val="left"/>
      <w:pPr>
        <w:tabs>
          <w:tab w:val="num" w:pos="3945"/>
        </w:tabs>
        <w:ind w:left="3945" w:hanging="360"/>
      </w:pPr>
      <w:rPr>
        <w:rFonts w:ascii="Courier New" w:hAnsi="Courier New" w:hint="default"/>
      </w:rPr>
    </w:lvl>
    <w:lvl w:ilvl="5" w:tplc="B8FC4D32" w:tentative="1">
      <w:start w:val="1"/>
      <w:numFmt w:val="bullet"/>
      <w:lvlText w:val=""/>
      <w:lvlJc w:val="left"/>
      <w:pPr>
        <w:tabs>
          <w:tab w:val="num" w:pos="4665"/>
        </w:tabs>
        <w:ind w:left="4665" w:hanging="360"/>
      </w:pPr>
      <w:rPr>
        <w:rFonts w:ascii="Wingdings" w:hAnsi="Wingdings" w:hint="default"/>
      </w:rPr>
    </w:lvl>
    <w:lvl w:ilvl="6" w:tplc="E1AAD9BA" w:tentative="1">
      <w:start w:val="1"/>
      <w:numFmt w:val="bullet"/>
      <w:lvlText w:val=""/>
      <w:lvlJc w:val="left"/>
      <w:pPr>
        <w:tabs>
          <w:tab w:val="num" w:pos="5385"/>
        </w:tabs>
        <w:ind w:left="5385" w:hanging="360"/>
      </w:pPr>
      <w:rPr>
        <w:rFonts w:ascii="Symbol" w:hAnsi="Symbol" w:hint="default"/>
      </w:rPr>
    </w:lvl>
    <w:lvl w:ilvl="7" w:tplc="30BACC12" w:tentative="1">
      <w:start w:val="1"/>
      <w:numFmt w:val="bullet"/>
      <w:lvlText w:val="o"/>
      <w:lvlJc w:val="left"/>
      <w:pPr>
        <w:tabs>
          <w:tab w:val="num" w:pos="6105"/>
        </w:tabs>
        <w:ind w:left="6105" w:hanging="360"/>
      </w:pPr>
      <w:rPr>
        <w:rFonts w:ascii="Courier New" w:hAnsi="Courier New" w:hint="default"/>
      </w:rPr>
    </w:lvl>
    <w:lvl w:ilvl="8" w:tplc="79F8A42E"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CD044BB"/>
    <w:multiLevelType w:val="hybridMultilevel"/>
    <w:tmpl w:val="DA4419F0"/>
    <w:lvl w:ilvl="0" w:tplc="53EC06C6">
      <w:start w:val="1"/>
      <w:numFmt w:val="bullet"/>
      <w:lvlText w:val=""/>
      <w:lvlJc w:val="left"/>
      <w:pPr>
        <w:tabs>
          <w:tab w:val="num" w:pos="720"/>
        </w:tabs>
        <w:ind w:left="720" w:hanging="360"/>
      </w:pPr>
      <w:rPr>
        <w:rFonts w:ascii="Wingdings" w:hAnsi="Wingdings" w:hint="default"/>
      </w:rPr>
    </w:lvl>
    <w:lvl w:ilvl="1" w:tplc="3CC49F36" w:tentative="1">
      <w:start w:val="1"/>
      <w:numFmt w:val="bullet"/>
      <w:lvlText w:val=""/>
      <w:lvlJc w:val="left"/>
      <w:pPr>
        <w:tabs>
          <w:tab w:val="num" w:pos="1440"/>
        </w:tabs>
        <w:ind w:left="1440" w:hanging="360"/>
      </w:pPr>
      <w:rPr>
        <w:rFonts w:ascii="Wingdings" w:hAnsi="Wingdings" w:hint="default"/>
      </w:rPr>
    </w:lvl>
    <w:lvl w:ilvl="2" w:tplc="6A8E20AE">
      <w:numFmt w:val="bullet"/>
      <w:lvlText w:val=""/>
      <w:lvlJc w:val="left"/>
      <w:pPr>
        <w:tabs>
          <w:tab w:val="num" w:pos="2160"/>
        </w:tabs>
        <w:ind w:left="2160" w:hanging="360"/>
      </w:pPr>
      <w:rPr>
        <w:rFonts w:ascii="Wingdings" w:hAnsi="Wingdings" w:hint="default"/>
      </w:rPr>
    </w:lvl>
    <w:lvl w:ilvl="3" w:tplc="080ABDD4" w:tentative="1">
      <w:start w:val="1"/>
      <w:numFmt w:val="bullet"/>
      <w:lvlText w:val=""/>
      <w:lvlJc w:val="left"/>
      <w:pPr>
        <w:tabs>
          <w:tab w:val="num" w:pos="2880"/>
        </w:tabs>
        <w:ind w:left="2880" w:hanging="360"/>
      </w:pPr>
      <w:rPr>
        <w:rFonts w:ascii="Wingdings" w:hAnsi="Wingdings" w:hint="default"/>
      </w:rPr>
    </w:lvl>
    <w:lvl w:ilvl="4" w:tplc="F4C26256" w:tentative="1">
      <w:start w:val="1"/>
      <w:numFmt w:val="bullet"/>
      <w:lvlText w:val=""/>
      <w:lvlJc w:val="left"/>
      <w:pPr>
        <w:tabs>
          <w:tab w:val="num" w:pos="3600"/>
        </w:tabs>
        <w:ind w:left="3600" w:hanging="360"/>
      </w:pPr>
      <w:rPr>
        <w:rFonts w:ascii="Wingdings" w:hAnsi="Wingdings" w:hint="default"/>
      </w:rPr>
    </w:lvl>
    <w:lvl w:ilvl="5" w:tplc="D8F028D6" w:tentative="1">
      <w:start w:val="1"/>
      <w:numFmt w:val="bullet"/>
      <w:lvlText w:val=""/>
      <w:lvlJc w:val="left"/>
      <w:pPr>
        <w:tabs>
          <w:tab w:val="num" w:pos="4320"/>
        </w:tabs>
        <w:ind w:left="4320" w:hanging="360"/>
      </w:pPr>
      <w:rPr>
        <w:rFonts w:ascii="Wingdings" w:hAnsi="Wingdings" w:hint="default"/>
      </w:rPr>
    </w:lvl>
    <w:lvl w:ilvl="6" w:tplc="DC6E1C58" w:tentative="1">
      <w:start w:val="1"/>
      <w:numFmt w:val="bullet"/>
      <w:lvlText w:val=""/>
      <w:lvlJc w:val="left"/>
      <w:pPr>
        <w:tabs>
          <w:tab w:val="num" w:pos="5040"/>
        </w:tabs>
        <w:ind w:left="5040" w:hanging="360"/>
      </w:pPr>
      <w:rPr>
        <w:rFonts w:ascii="Wingdings" w:hAnsi="Wingdings" w:hint="default"/>
      </w:rPr>
    </w:lvl>
    <w:lvl w:ilvl="7" w:tplc="C74675B0" w:tentative="1">
      <w:start w:val="1"/>
      <w:numFmt w:val="bullet"/>
      <w:lvlText w:val=""/>
      <w:lvlJc w:val="left"/>
      <w:pPr>
        <w:tabs>
          <w:tab w:val="num" w:pos="5760"/>
        </w:tabs>
        <w:ind w:left="5760" w:hanging="360"/>
      </w:pPr>
      <w:rPr>
        <w:rFonts w:ascii="Wingdings" w:hAnsi="Wingdings" w:hint="default"/>
      </w:rPr>
    </w:lvl>
    <w:lvl w:ilvl="8" w:tplc="5C6875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64ED7"/>
    <w:multiLevelType w:val="hybridMultilevel"/>
    <w:tmpl w:val="BAD635A2"/>
    <w:lvl w:ilvl="0" w:tplc="FDBE2E66">
      <w:start w:val="1"/>
      <w:numFmt w:val="bullet"/>
      <w:lvlText w:val=""/>
      <w:lvlJc w:val="left"/>
      <w:pPr>
        <w:tabs>
          <w:tab w:val="num" w:pos="720"/>
        </w:tabs>
        <w:ind w:left="720" w:hanging="360"/>
      </w:pPr>
      <w:rPr>
        <w:rFonts w:ascii="Wingdings" w:hAnsi="Wingdings" w:hint="default"/>
      </w:rPr>
    </w:lvl>
    <w:lvl w:ilvl="1" w:tplc="639CF15C">
      <w:numFmt w:val="bullet"/>
      <w:lvlText w:val=""/>
      <w:lvlJc w:val="left"/>
      <w:pPr>
        <w:tabs>
          <w:tab w:val="num" w:pos="1440"/>
        </w:tabs>
        <w:ind w:left="1440" w:hanging="360"/>
      </w:pPr>
      <w:rPr>
        <w:rFonts w:ascii="Wingdings 2" w:hAnsi="Wingdings 2" w:hint="default"/>
      </w:rPr>
    </w:lvl>
    <w:lvl w:ilvl="2" w:tplc="F46C73D6">
      <w:numFmt w:val="bullet"/>
      <w:lvlText w:val=""/>
      <w:lvlJc w:val="left"/>
      <w:pPr>
        <w:tabs>
          <w:tab w:val="num" w:pos="2160"/>
        </w:tabs>
        <w:ind w:left="2160" w:hanging="360"/>
      </w:pPr>
      <w:rPr>
        <w:rFonts w:ascii="Wingdings 2" w:hAnsi="Wingdings 2" w:hint="default"/>
      </w:rPr>
    </w:lvl>
    <w:lvl w:ilvl="3" w:tplc="44FA910A" w:tentative="1">
      <w:start w:val="1"/>
      <w:numFmt w:val="bullet"/>
      <w:lvlText w:val=""/>
      <w:lvlJc w:val="left"/>
      <w:pPr>
        <w:tabs>
          <w:tab w:val="num" w:pos="2880"/>
        </w:tabs>
        <w:ind w:left="2880" w:hanging="360"/>
      </w:pPr>
      <w:rPr>
        <w:rFonts w:ascii="Wingdings" w:hAnsi="Wingdings" w:hint="default"/>
      </w:rPr>
    </w:lvl>
    <w:lvl w:ilvl="4" w:tplc="91700E24" w:tentative="1">
      <w:start w:val="1"/>
      <w:numFmt w:val="bullet"/>
      <w:lvlText w:val=""/>
      <w:lvlJc w:val="left"/>
      <w:pPr>
        <w:tabs>
          <w:tab w:val="num" w:pos="3600"/>
        </w:tabs>
        <w:ind w:left="3600" w:hanging="360"/>
      </w:pPr>
      <w:rPr>
        <w:rFonts w:ascii="Wingdings" w:hAnsi="Wingdings" w:hint="default"/>
      </w:rPr>
    </w:lvl>
    <w:lvl w:ilvl="5" w:tplc="E3109DD0" w:tentative="1">
      <w:start w:val="1"/>
      <w:numFmt w:val="bullet"/>
      <w:lvlText w:val=""/>
      <w:lvlJc w:val="left"/>
      <w:pPr>
        <w:tabs>
          <w:tab w:val="num" w:pos="4320"/>
        </w:tabs>
        <w:ind w:left="4320" w:hanging="360"/>
      </w:pPr>
      <w:rPr>
        <w:rFonts w:ascii="Wingdings" w:hAnsi="Wingdings" w:hint="default"/>
      </w:rPr>
    </w:lvl>
    <w:lvl w:ilvl="6" w:tplc="B8005CF6" w:tentative="1">
      <w:start w:val="1"/>
      <w:numFmt w:val="bullet"/>
      <w:lvlText w:val=""/>
      <w:lvlJc w:val="left"/>
      <w:pPr>
        <w:tabs>
          <w:tab w:val="num" w:pos="5040"/>
        </w:tabs>
        <w:ind w:left="5040" w:hanging="360"/>
      </w:pPr>
      <w:rPr>
        <w:rFonts w:ascii="Wingdings" w:hAnsi="Wingdings" w:hint="default"/>
      </w:rPr>
    </w:lvl>
    <w:lvl w:ilvl="7" w:tplc="B6069F12" w:tentative="1">
      <w:start w:val="1"/>
      <w:numFmt w:val="bullet"/>
      <w:lvlText w:val=""/>
      <w:lvlJc w:val="left"/>
      <w:pPr>
        <w:tabs>
          <w:tab w:val="num" w:pos="5760"/>
        </w:tabs>
        <w:ind w:left="5760" w:hanging="360"/>
      </w:pPr>
      <w:rPr>
        <w:rFonts w:ascii="Wingdings" w:hAnsi="Wingdings" w:hint="default"/>
      </w:rPr>
    </w:lvl>
    <w:lvl w:ilvl="8" w:tplc="F61080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E4C43"/>
    <w:multiLevelType w:val="hybridMultilevel"/>
    <w:tmpl w:val="FE326A3C"/>
    <w:lvl w:ilvl="0" w:tplc="CCD0D87E">
      <w:start w:val="16"/>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73D2B31"/>
    <w:multiLevelType w:val="hybridMultilevel"/>
    <w:tmpl w:val="70CA7670"/>
    <w:lvl w:ilvl="0" w:tplc="35767FA6">
      <w:start w:val="1"/>
      <w:numFmt w:val="bullet"/>
      <w:lvlText w:val=""/>
      <w:lvlJc w:val="left"/>
      <w:pPr>
        <w:tabs>
          <w:tab w:val="num" w:pos="720"/>
        </w:tabs>
        <w:ind w:left="720" w:hanging="360"/>
      </w:pPr>
      <w:rPr>
        <w:rFonts w:ascii="Wingdings" w:hAnsi="Wingdings" w:hint="default"/>
      </w:rPr>
    </w:lvl>
    <w:lvl w:ilvl="1" w:tplc="8042D8E2" w:tentative="1">
      <w:start w:val="1"/>
      <w:numFmt w:val="bullet"/>
      <w:lvlText w:val=""/>
      <w:lvlJc w:val="left"/>
      <w:pPr>
        <w:tabs>
          <w:tab w:val="num" w:pos="1440"/>
        </w:tabs>
        <w:ind w:left="1440" w:hanging="360"/>
      </w:pPr>
      <w:rPr>
        <w:rFonts w:ascii="Wingdings" w:hAnsi="Wingdings" w:hint="default"/>
      </w:rPr>
    </w:lvl>
    <w:lvl w:ilvl="2" w:tplc="EDE4E47A">
      <w:start w:val="1"/>
      <w:numFmt w:val="bullet"/>
      <w:lvlText w:val=""/>
      <w:lvlJc w:val="left"/>
      <w:pPr>
        <w:tabs>
          <w:tab w:val="num" w:pos="2160"/>
        </w:tabs>
        <w:ind w:left="2160" w:hanging="360"/>
      </w:pPr>
      <w:rPr>
        <w:rFonts w:ascii="Wingdings" w:hAnsi="Wingdings" w:hint="default"/>
      </w:rPr>
    </w:lvl>
    <w:lvl w:ilvl="3" w:tplc="B1F813F6" w:tentative="1">
      <w:start w:val="1"/>
      <w:numFmt w:val="bullet"/>
      <w:lvlText w:val=""/>
      <w:lvlJc w:val="left"/>
      <w:pPr>
        <w:tabs>
          <w:tab w:val="num" w:pos="2880"/>
        </w:tabs>
        <w:ind w:left="2880" w:hanging="360"/>
      </w:pPr>
      <w:rPr>
        <w:rFonts w:ascii="Wingdings" w:hAnsi="Wingdings" w:hint="default"/>
      </w:rPr>
    </w:lvl>
    <w:lvl w:ilvl="4" w:tplc="3DE00BA4" w:tentative="1">
      <w:start w:val="1"/>
      <w:numFmt w:val="bullet"/>
      <w:lvlText w:val=""/>
      <w:lvlJc w:val="left"/>
      <w:pPr>
        <w:tabs>
          <w:tab w:val="num" w:pos="3600"/>
        </w:tabs>
        <w:ind w:left="3600" w:hanging="360"/>
      </w:pPr>
      <w:rPr>
        <w:rFonts w:ascii="Wingdings" w:hAnsi="Wingdings" w:hint="default"/>
      </w:rPr>
    </w:lvl>
    <w:lvl w:ilvl="5" w:tplc="01628030" w:tentative="1">
      <w:start w:val="1"/>
      <w:numFmt w:val="bullet"/>
      <w:lvlText w:val=""/>
      <w:lvlJc w:val="left"/>
      <w:pPr>
        <w:tabs>
          <w:tab w:val="num" w:pos="4320"/>
        </w:tabs>
        <w:ind w:left="4320" w:hanging="360"/>
      </w:pPr>
      <w:rPr>
        <w:rFonts w:ascii="Wingdings" w:hAnsi="Wingdings" w:hint="default"/>
      </w:rPr>
    </w:lvl>
    <w:lvl w:ilvl="6" w:tplc="4D9E3B1E" w:tentative="1">
      <w:start w:val="1"/>
      <w:numFmt w:val="bullet"/>
      <w:lvlText w:val=""/>
      <w:lvlJc w:val="left"/>
      <w:pPr>
        <w:tabs>
          <w:tab w:val="num" w:pos="5040"/>
        </w:tabs>
        <w:ind w:left="5040" w:hanging="360"/>
      </w:pPr>
      <w:rPr>
        <w:rFonts w:ascii="Wingdings" w:hAnsi="Wingdings" w:hint="default"/>
      </w:rPr>
    </w:lvl>
    <w:lvl w:ilvl="7" w:tplc="6152FC7E" w:tentative="1">
      <w:start w:val="1"/>
      <w:numFmt w:val="bullet"/>
      <w:lvlText w:val=""/>
      <w:lvlJc w:val="left"/>
      <w:pPr>
        <w:tabs>
          <w:tab w:val="num" w:pos="5760"/>
        </w:tabs>
        <w:ind w:left="5760" w:hanging="360"/>
      </w:pPr>
      <w:rPr>
        <w:rFonts w:ascii="Wingdings" w:hAnsi="Wingdings" w:hint="default"/>
      </w:rPr>
    </w:lvl>
    <w:lvl w:ilvl="8" w:tplc="F7DC4A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54AF8"/>
    <w:multiLevelType w:val="hybridMultilevel"/>
    <w:tmpl w:val="9438BA66"/>
    <w:lvl w:ilvl="0" w:tplc="56FC5A56">
      <w:start w:val="1"/>
      <w:numFmt w:val="bullet"/>
      <w:lvlText w:val="•"/>
      <w:lvlJc w:val="left"/>
      <w:pPr>
        <w:tabs>
          <w:tab w:val="num" w:pos="720"/>
        </w:tabs>
        <w:ind w:left="720" w:hanging="360"/>
      </w:pPr>
      <w:rPr>
        <w:rFonts w:ascii="Times" w:hAnsi="Times" w:hint="default"/>
      </w:rPr>
    </w:lvl>
    <w:lvl w:ilvl="1" w:tplc="E8FA73A6" w:tentative="1">
      <w:start w:val="1"/>
      <w:numFmt w:val="bullet"/>
      <w:lvlText w:val="•"/>
      <w:lvlJc w:val="left"/>
      <w:pPr>
        <w:tabs>
          <w:tab w:val="num" w:pos="1440"/>
        </w:tabs>
        <w:ind w:left="1440" w:hanging="360"/>
      </w:pPr>
      <w:rPr>
        <w:rFonts w:ascii="Times" w:hAnsi="Times" w:hint="default"/>
      </w:rPr>
    </w:lvl>
    <w:lvl w:ilvl="2" w:tplc="420AF13E" w:tentative="1">
      <w:start w:val="1"/>
      <w:numFmt w:val="bullet"/>
      <w:lvlText w:val="•"/>
      <w:lvlJc w:val="left"/>
      <w:pPr>
        <w:tabs>
          <w:tab w:val="num" w:pos="2160"/>
        </w:tabs>
        <w:ind w:left="2160" w:hanging="360"/>
      </w:pPr>
      <w:rPr>
        <w:rFonts w:ascii="Times" w:hAnsi="Times" w:hint="default"/>
      </w:rPr>
    </w:lvl>
    <w:lvl w:ilvl="3" w:tplc="87DED3C8" w:tentative="1">
      <w:start w:val="1"/>
      <w:numFmt w:val="bullet"/>
      <w:lvlText w:val="•"/>
      <w:lvlJc w:val="left"/>
      <w:pPr>
        <w:tabs>
          <w:tab w:val="num" w:pos="2880"/>
        </w:tabs>
        <w:ind w:left="2880" w:hanging="360"/>
      </w:pPr>
      <w:rPr>
        <w:rFonts w:ascii="Times" w:hAnsi="Times" w:hint="default"/>
      </w:rPr>
    </w:lvl>
    <w:lvl w:ilvl="4" w:tplc="1F5459C4" w:tentative="1">
      <w:start w:val="1"/>
      <w:numFmt w:val="bullet"/>
      <w:lvlText w:val="•"/>
      <w:lvlJc w:val="left"/>
      <w:pPr>
        <w:tabs>
          <w:tab w:val="num" w:pos="3600"/>
        </w:tabs>
        <w:ind w:left="3600" w:hanging="360"/>
      </w:pPr>
      <w:rPr>
        <w:rFonts w:ascii="Times" w:hAnsi="Times" w:hint="default"/>
      </w:rPr>
    </w:lvl>
    <w:lvl w:ilvl="5" w:tplc="4060EC8A" w:tentative="1">
      <w:start w:val="1"/>
      <w:numFmt w:val="bullet"/>
      <w:lvlText w:val="•"/>
      <w:lvlJc w:val="left"/>
      <w:pPr>
        <w:tabs>
          <w:tab w:val="num" w:pos="4320"/>
        </w:tabs>
        <w:ind w:left="4320" w:hanging="360"/>
      </w:pPr>
      <w:rPr>
        <w:rFonts w:ascii="Times" w:hAnsi="Times" w:hint="default"/>
      </w:rPr>
    </w:lvl>
    <w:lvl w:ilvl="6" w:tplc="13DEA470" w:tentative="1">
      <w:start w:val="1"/>
      <w:numFmt w:val="bullet"/>
      <w:lvlText w:val="•"/>
      <w:lvlJc w:val="left"/>
      <w:pPr>
        <w:tabs>
          <w:tab w:val="num" w:pos="5040"/>
        </w:tabs>
        <w:ind w:left="5040" w:hanging="360"/>
      </w:pPr>
      <w:rPr>
        <w:rFonts w:ascii="Times" w:hAnsi="Times" w:hint="default"/>
      </w:rPr>
    </w:lvl>
    <w:lvl w:ilvl="7" w:tplc="E1E0E36C" w:tentative="1">
      <w:start w:val="1"/>
      <w:numFmt w:val="bullet"/>
      <w:lvlText w:val="•"/>
      <w:lvlJc w:val="left"/>
      <w:pPr>
        <w:tabs>
          <w:tab w:val="num" w:pos="5760"/>
        </w:tabs>
        <w:ind w:left="5760" w:hanging="360"/>
      </w:pPr>
      <w:rPr>
        <w:rFonts w:ascii="Times" w:hAnsi="Times" w:hint="default"/>
      </w:rPr>
    </w:lvl>
    <w:lvl w:ilvl="8" w:tplc="44025DF2"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1F32032D"/>
    <w:multiLevelType w:val="hybridMultilevel"/>
    <w:tmpl w:val="1DBC27F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9" w15:restartNumberingAfterBreak="0">
    <w:nsid w:val="1F8031E8"/>
    <w:multiLevelType w:val="hybridMultilevel"/>
    <w:tmpl w:val="66F43B86"/>
    <w:lvl w:ilvl="0" w:tplc="EF1235FA">
      <w:start w:val="1"/>
      <w:numFmt w:val="bullet"/>
      <w:lvlText w:val=""/>
      <w:lvlJc w:val="left"/>
      <w:pPr>
        <w:ind w:left="360" w:hanging="360"/>
      </w:pPr>
      <w:rPr>
        <w:rFonts w:ascii="Symbol" w:hAnsi="Symbol" w:hint="default"/>
        <w:color w:val="auto"/>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4B4F5F12"/>
    <w:multiLevelType w:val="hybridMultilevel"/>
    <w:tmpl w:val="0F5ED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D427E1"/>
    <w:multiLevelType w:val="hybridMultilevel"/>
    <w:tmpl w:val="230869CA"/>
    <w:lvl w:ilvl="0" w:tplc="045818B8">
      <w:start w:val="1"/>
      <w:numFmt w:val="bullet"/>
      <w:lvlText w:val=""/>
      <w:lvlJc w:val="left"/>
      <w:pPr>
        <w:tabs>
          <w:tab w:val="num" w:pos="720"/>
        </w:tabs>
        <w:ind w:left="720" w:hanging="360"/>
      </w:pPr>
      <w:rPr>
        <w:rFonts w:ascii="Wingdings" w:hAnsi="Wingdings" w:hint="default"/>
      </w:rPr>
    </w:lvl>
    <w:lvl w:ilvl="1" w:tplc="C67AA932">
      <w:numFmt w:val="bullet"/>
      <w:lvlText w:val=""/>
      <w:lvlJc w:val="left"/>
      <w:pPr>
        <w:tabs>
          <w:tab w:val="num" w:pos="1440"/>
        </w:tabs>
        <w:ind w:left="1440" w:hanging="360"/>
      </w:pPr>
      <w:rPr>
        <w:rFonts w:ascii="Wingdings 2" w:hAnsi="Wingdings 2" w:hint="default"/>
      </w:rPr>
    </w:lvl>
    <w:lvl w:ilvl="2" w:tplc="6DD27DC0">
      <w:numFmt w:val="bullet"/>
      <w:lvlText w:val=""/>
      <w:lvlJc w:val="left"/>
      <w:pPr>
        <w:tabs>
          <w:tab w:val="num" w:pos="2160"/>
        </w:tabs>
        <w:ind w:left="2160" w:hanging="360"/>
      </w:pPr>
      <w:rPr>
        <w:rFonts w:ascii="Wingdings" w:hAnsi="Wingdings" w:hint="default"/>
      </w:rPr>
    </w:lvl>
    <w:lvl w:ilvl="3" w:tplc="D3842D10" w:tentative="1">
      <w:start w:val="1"/>
      <w:numFmt w:val="bullet"/>
      <w:lvlText w:val=""/>
      <w:lvlJc w:val="left"/>
      <w:pPr>
        <w:tabs>
          <w:tab w:val="num" w:pos="2880"/>
        </w:tabs>
        <w:ind w:left="2880" w:hanging="360"/>
      </w:pPr>
      <w:rPr>
        <w:rFonts w:ascii="Wingdings" w:hAnsi="Wingdings" w:hint="default"/>
      </w:rPr>
    </w:lvl>
    <w:lvl w:ilvl="4" w:tplc="47BC68A4" w:tentative="1">
      <w:start w:val="1"/>
      <w:numFmt w:val="bullet"/>
      <w:lvlText w:val=""/>
      <w:lvlJc w:val="left"/>
      <w:pPr>
        <w:tabs>
          <w:tab w:val="num" w:pos="3600"/>
        </w:tabs>
        <w:ind w:left="3600" w:hanging="360"/>
      </w:pPr>
      <w:rPr>
        <w:rFonts w:ascii="Wingdings" w:hAnsi="Wingdings" w:hint="default"/>
      </w:rPr>
    </w:lvl>
    <w:lvl w:ilvl="5" w:tplc="DEAE51C0" w:tentative="1">
      <w:start w:val="1"/>
      <w:numFmt w:val="bullet"/>
      <w:lvlText w:val=""/>
      <w:lvlJc w:val="left"/>
      <w:pPr>
        <w:tabs>
          <w:tab w:val="num" w:pos="4320"/>
        </w:tabs>
        <w:ind w:left="4320" w:hanging="360"/>
      </w:pPr>
      <w:rPr>
        <w:rFonts w:ascii="Wingdings" w:hAnsi="Wingdings" w:hint="default"/>
      </w:rPr>
    </w:lvl>
    <w:lvl w:ilvl="6" w:tplc="A1828842" w:tentative="1">
      <w:start w:val="1"/>
      <w:numFmt w:val="bullet"/>
      <w:lvlText w:val=""/>
      <w:lvlJc w:val="left"/>
      <w:pPr>
        <w:tabs>
          <w:tab w:val="num" w:pos="5040"/>
        </w:tabs>
        <w:ind w:left="5040" w:hanging="360"/>
      </w:pPr>
      <w:rPr>
        <w:rFonts w:ascii="Wingdings" w:hAnsi="Wingdings" w:hint="default"/>
      </w:rPr>
    </w:lvl>
    <w:lvl w:ilvl="7" w:tplc="DBF62B50" w:tentative="1">
      <w:start w:val="1"/>
      <w:numFmt w:val="bullet"/>
      <w:lvlText w:val=""/>
      <w:lvlJc w:val="left"/>
      <w:pPr>
        <w:tabs>
          <w:tab w:val="num" w:pos="5760"/>
        </w:tabs>
        <w:ind w:left="5760" w:hanging="360"/>
      </w:pPr>
      <w:rPr>
        <w:rFonts w:ascii="Wingdings" w:hAnsi="Wingdings" w:hint="default"/>
      </w:rPr>
    </w:lvl>
    <w:lvl w:ilvl="8" w:tplc="E2242F8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F47112"/>
    <w:multiLevelType w:val="hybridMultilevel"/>
    <w:tmpl w:val="FD28B18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577C03D8"/>
    <w:multiLevelType w:val="hybridMultilevel"/>
    <w:tmpl w:val="40820D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256BAE"/>
    <w:multiLevelType w:val="hybridMultilevel"/>
    <w:tmpl w:val="9A16BFBE"/>
    <w:lvl w:ilvl="0" w:tplc="97308070">
      <w:start w:val="1"/>
      <w:numFmt w:val="bullet"/>
      <w:lvlText w:val=""/>
      <w:lvlPicBulletId w:val="0"/>
      <w:lvlJc w:val="left"/>
      <w:pPr>
        <w:tabs>
          <w:tab w:val="num" w:pos="720"/>
        </w:tabs>
        <w:ind w:left="720" w:hanging="360"/>
      </w:pPr>
      <w:rPr>
        <w:rFonts w:ascii="Symbol" w:hAnsi="Symbol" w:hint="default"/>
      </w:rPr>
    </w:lvl>
    <w:lvl w:ilvl="1" w:tplc="B3F66F4C" w:tentative="1">
      <w:start w:val="1"/>
      <w:numFmt w:val="bullet"/>
      <w:lvlText w:val=""/>
      <w:lvlJc w:val="left"/>
      <w:pPr>
        <w:tabs>
          <w:tab w:val="num" w:pos="1440"/>
        </w:tabs>
        <w:ind w:left="1440" w:hanging="360"/>
      </w:pPr>
      <w:rPr>
        <w:rFonts w:ascii="Symbol" w:hAnsi="Symbol" w:hint="default"/>
      </w:rPr>
    </w:lvl>
    <w:lvl w:ilvl="2" w:tplc="36024F62" w:tentative="1">
      <w:start w:val="1"/>
      <w:numFmt w:val="bullet"/>
      <w:lvlText w:val=""/>
      <w:lvlJc w:val="left"/>
      <w:pPr>
        <w:tabs>
          <w:tab w:val="num" w:pos="2160"/>
        </w:tabs>
        <w:ind w:left="2160" w:hanging="360"/>
      </w:pPr>
      <w:rPr>
        <w:rFonts w:ascii="Symbol" w:hAnsi="Symbol" w:hint="default"/>
      </w:rPr>
    </w:lvl>
    <w:lvl w:ilvl="3" w:tplc="B79428AE" w:tentative="1">
      <w:start w:val="1"/>
      <w:numFmt w:val="bullet"/>
      <w:lvlText w:val=""/>
      <w:lvlJc w:val="left"/>
      <w:pPr>
        <w:tabs>
          <w:tab w:val="num" w:pos="2880"/>
        </w:tabs>
        <w:ind w:left="2880" w:hanging="360"/>
      </w:pPr>
      <w:rPr>
        <w:rFonts w:ascii="Symbol" w:hAnsi="Symbol" w:hint="default"/>
      </w:rPr>
    </w:lvl>
    <w:lvl w:ilvl="4" w:tplc="068C6F30" w:tentative="1">
      <w:start w:val="1"/>
      <w:numFmt w:val="bullet"/>
      <w:lvlText w:val=""/>
      <w:lvlJc w:val="left"/>
      <w:pPr>
        <w:tabs>
          <w:tab w:val="num" w:pos="3600"/>
        </w:tabs>
        <w:ind w:left="3600" w:hanging="360"/>
      </w:pPr>
      <w:rPr>
        <w:rFonts w:ascii="Symbol" w:hAnsi="Symbol" w:hint="default"/>
      </w:rPr>
    </w:lvl>
    <w:lvl w:ilvl="5" w:tplc="02B42A7C" w:tentative="1">
      <w:start w:val="1"/>
      <w:numFmt w:val="bullet"/>
      <w:lvlText w:val=""/>
      <w:lvlJc w:val="left"/>
      <w:pPr>
        <w:tabs>
          <w:tab w:val="num" w:pos="4320"/>
        </w:tabs>
        <w:ind w:left="4320" w:hanging="360"/>
      </w:pPr>
      <w:rPr>
        <w:rFonts w:ascii="Symbol" w:hAnsi="Symbol" w:hint="default"/>
      </w:rPr>
    </w:lvl>
    <w:lvl w:ilvl="6" w:tplc="3AF097B8" w:tentative="1">
      <w:start w:val="1"/>
      <w:numFmt w:val="bullet"/>
      <w:lvlText w:val=""/>
      <w:lvlJc w:val="left"/>
      <w:pPr>
        <w:tabs>
          <w:tab w:val="num" w:pos="5040"/>
        </w:tabs>
        <w:ind w:left="5040" w:hanging="360"/>
      </w:pPr>
      <w:rPr>
        <w:rFonts w:ascii="Symbol" w:hAnsi="Symbol" w:hint="default"/>
      </w:rPr>
    </w:lvl>
    <w:lvl w:ilvl="7" w:tplc="E5E8B396" w:tentative="1">
      <w:start w:val="1"/>
      <w:numFmt w:val="bullet"/>
      <w:lvlText w:val=""/>
      <w:lvlJc w:val="left"/>
      <w:pPr>
        <w:tabs>
          <w:tab w:val="num" w:pos="5760"/>
        </w:tabs>
        <w:ind w:left="5760" w:hanging="360"/>
      </w:pPr>
      <w:rPr>
        <w:rFonts w:ascii="Symbol" w:hAnsi="Symbol" w:hint="default"/>
      </w:rPr>
    </w:lvl>
    <w:lvl w:ilvl="8" w:tplc="06D8F87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63F42F6"/>
    <w:multiLevelType w:val="hybridMultilevel"/>
    <w:tmpl w:val="50427A20"/>
    <w:lvl w:ilvl="0" w:tplc="B3BCAED4">
      <w:start w:val="1"/>
      <w:numFmt w:val="bullet"/>
      <w:lvlText w:val=""/>
      <w:lvlJc w:val="left"/>
      <w:pPr>
        <w:tabs>
          <w:tab w:val="num" w:pos="720"/>
        </w:tabs>
        <w:ind w:left="720" w:hanging="360"/>
      </w:pPr>
      <w:rPr>
        <w:rFonts w:ascii="Wingdings" w:hAnsi="Wingdings" w:hint="default"/>
      </w:rPr>
    </w:lvl>
    <w:lvl w:ilvl="1" w:tplc="77A8DFC4" w:tentative="1">
      <w:start w:val="1"/>
      <w:numFmt w:val="bullet"/>
      <w:lvlText w:val=""/>
      <w:lvlJc w:val="left"/>
      <w:pPr>
        <w:tabs>
          <w:tab w:val="num" w:pos="1440"/>
        </w:tabs>
        <w:ind w:left="1440" w:hanging="360"/>
      </w:pPr>
      <w:rPr>
        <w:rFonts w:ascii="Wingdings" w:hAnsi="Wingdings" w:hint="default"/>
      </w:rPr>
    </w:lvl>
    <w:lvl w:ilvl="2" w:tplc="0B5AD368">
      <w:numFmt w:val="bullet"/>
      <w:lvlText w:val=""/>
      <w:lvlJc w:val="left"/>
      <w:pPr>
        <w:tabs>
          <w:tab w:val="num" w:pos="2160"/>
        </w:tabs>
        <w:ind w:left="2160" w:hanging="360"/>
      </w:pPr>
      <w:rPr>
        <w:rFonts w:ascii="Wingdings" w:hAnsi="Wingdings" w:hint="default"/>
      </w:rPr>
    </w:lvl>
    <w:lvl w:ilvl="3" w:tplc="BDB20E08" w:tentative="1">
      <w:start w:val="1"/>
      <w:numFmt w:val="bullet"/>
      <w:lvlText w:val=""/>
      <w:lvlJc w:val="left"/>
      <w:pPr>
        <w:tabs>
          <w:tab w:val="num" w:pos="2880"/>
        </w:tabs>
        <w:ind w:left="2880" w:hanging="360"/>
      </w:pPr>
      <w:rPr>
        <w:rFonts w:ascii="Wingdings" w:hAnsi="Wingdings" w:hint="default"/>
      </w:rPr>
    </w:lvl>
    <w:lvl w:ilvl="4" w:tplc="8C88B1DA" w:tentative="1">
      <w:start w:val="1"/>
      <w:numFmt w:val="bullet"/>
      <w:lvlText w:val=""/>
      <w:lvlJc w:val="left"/>
      <w:pPr>
        <w:tabs>
          <w:tab w:val="num" w:pos="3600"/>
        </w:tabs>
        <w:ind w:left="3600" w:hanging="360"/>
      </w:pPr>
      <w:rPr>
        <w:rFonts w:ascii="Wingdings" w:hAnsi="Wingdings" w:hint="default"/>
      </w:rPr>
    </w:lvl>
    <w:lvl w:ilvl="5" w:tplc="72605A56" w:tentative="1">
      <w:start w:val="1"/>
      <w:numFmt w:val="bullet"/>
      <w:lvlText w:val=""/>
      <w:lvlJc w:val="left"/>
      <w:pPr>
        <w:tabs>
          <w:tab w:val="num" w:pos="4320"/>
        </w:tabs>
        <w:ind w:left="4320" w:hanging="360"/>
      </w:pPr>
      <w:rPr>
        <w:rFonts w:ascii="Wingdings" w:hAnsi="Wingdings" w:hint="default"/>
      </w:rPr>
    </w:lvl>
    <w:lvl w:ilvl="6" w:tplc="EDD214B0" w:tentative="1">
      <w:start w:val="1"/>
      <w:numFmt w:val="bullet"/>
      <w:lvlText w:val=""/>
      <w:lvlJc w:val="left"/>
      <w:pPr>
        <w:tabs>
          <w:tab w:val="num" w:pos="5040"/>
        </w:tabs>
        <w:ind w:left="5040" w:hanging="360"/>
      </w:pPr>
      <w:rPr>
        <w:rFonts w:ascii="Wingdings" w:hAnsi="Wingdings" w:hint="default"/>
      </w:rPr>
    </w:lvl>
    <w:lvl w:ilvl="7" w:tplc="2182FBA0" w:tentative="1">
      <w:start w:val="1"/>
      <w:numFmt w:val="bullet"/>
      <w:lvlText w:val=""/>
      <w:lvlJc w:val="left"/>
      <w:pPr>
        <w:tabs>
          <w:tab w:val="num" w:pos="5760"/>
        </w:tabs>
        <w:ind w:left="5760" w:hanging="360"/>
      </w:pPr>
      <w:rPr>
        <w:rFonts w:ascii="Wingdings" w:hAnsi="Wingdings" w:hint="default"/>
      </w:rPr>
    </w:lvl>
    <w:lvl w:ilvl="8" w:tplc="F642DF1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974EC6"/>
    <w:multiLevelType w:val="hybridMultilevel"/>
    <w:tmpl w:val="228CD7D2"/>
    <w:lvl w:ilvl="0" w:tplc="443893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C5E00"/>
    <w:multiLevelType w:val="hybridMultilevel"/>
    <w:tmpl w:val="E72E6564"/>
    <w:lvl w:ilvl="0" w:tplc="294482B0">
      <w:start w:val="1"/>
      <w:numFmt w:val="bullet"/>
      <w:lvlText w:val="•"/>
      <w:lvlJc w:val="left"/>
      <w:pPr>
        <w:tabs>
          <w:tab w:val="num" w:pos="720"/>
        </w:tabs>
        <w:ind w:left="720" w:hanging="360"/>
      </w:pPr>
      <w:rPr>
        <w:rFonts w:ascii="Times" w:hAnsi="Times" w:hint="default"/>
      </w:rPr>
    </w:lvl>
    <w:lvl w:ilvl="1" w:tplc="06347436" w:tentative="1">
      <w:start w:val="1"/>
      <w:numFmt w:val="bullet"/>
      <w:lvlText w:val="•"/>
      <w:lvlJc w:val="left"/>
      <w:pPr>
        <w:tabs>
          <w:tab w:val="num" w:pos="1440"/>
        </w:tabs>
        <w:ind w:left="1440" w:hanging="360"/>
      </w:pPr>
      <w:rPr>
        <w:rFonts w:ascii="Times" w:hAnsi="Times" w:hint="default"/>
      </w:rPr>
    </w:lvl>
    <w:lvl w:ilvl="2" w:tplc="968E3C2E" w:tentative="1">
      <w:start w:val="1"/>
      <w:numFmt w:val="bullet"/>
      <w:lvlText w:val="•"/>
      <w:lvlJc w:val="left"/>
      <w:pPr>
        <w:tabs>
          <w:tab w:val="num" w:pos="2160"/>
        </w:tabs>
        <w:ind w:left="2160" w:hanging="360"/>
      </w:pPr>
      <w:rPr>
        <w:rFonts w:ascii="Times" w:hAnsi="Times" w:hint="default"/>
      </w:rPr>
    </w:lvl>
    <w:lvl w:ilvl="3" w:tplc="1B4822F8" w:tentative="1">
      <w:start w:val="1"/>
      <w:numFmt w:val="bullet"/>
      <w:lvlText w:val="•"/>
      <w:lvlJc w:val="left"/>
      <w:pPr>
        <w:tabs>
          <w:tab w:val="num" w:pos="2880"/>
        </w:tabs>
        <w:ind w:left="2880" w:hanging="360"/>
      </w:pPr>
      <w:rPr>
        <w:rFonts w:ascii="Times" w:hAnsi="Times" w:hint="default"/>
      </w:rPr>
    </w:lvl>
    <w:lvl w:ilvl="4" w:tplc="D2C0BA80" w:tentative="1">
      <w:start w:val="1"/>
      <w:numFmt w:val="bullet"/>
      <w:lvlText w:val="•"/>
      <w:lvlJc w:val="left"/>
      <w:pPr>
        <w:tabs>
          <w:tab w:val="num" w:pos="3600"/>
        </w:tabs>
        <w:ind w:left="3600" w:hanging="360"/>
      </w:pPr>
      <w:rPr>
        <w:rFonts w:ascii="Times" w:hAnsi="Times" w:hint="default"/>
      </w:rPr>
    </w:lvl>
    <w:lvl w:ilvl="5" w:tplc="5B229828" w:tentative="1">
      <w:start w:val="1"/>
      <w:numFmt w:val="bullet"/>
      <w:lvlText w:val="•"/>
      <w:lvlJc w:val="left"/>
      <w:pPr>
        <w:tabs>
          <w:tab w:val="num" w:pos="4320"/>
        </w:tabs>
        <w:ind w:left="4320" w:hanging="360"/>
      </w:pPr>
      <w:rPr>
        <w:rFonts w:ascii="Times" w:hAnsi="Times" w:hint="default"/>
      </w:rPr>
    </w:lvl>
    <w:lvl w:ilvl="6" w:tplc="BDE82266" w:tentative="1">
      <w:start w:val="1"/>
      <w:numFmt w:val="bullet"/>
      <w:lvlText w:val="•"/>
      <w:lvlJc w:val="left"/>
      <w:pPr>
        <w:tabs>
          <w:tab w:val="num" w:pos="5040"/>
        </w:tabs>
        <w:ind w:left="5040" w:hanging="360"/>
      </w:pPr>
      <w:rPr>
        <w:rFonts w:ascii="Times" w:hAnsi="Times" w:hint="default"/>
      </w:rPr>
    </w:lvl>
    <w:lvl w:ilvl="7" w:tplc="1A7689BE" w:tentative="1">
      <w:start w:val="1"/>
      <w:numFmt w:val="bullet"/>
      <w:lvlText w:val="•"/>
      <w:lvlJc w:val="left"/>
      <w:pPr>
        <w:tabs>
          <w:tab w:val="num" w:pos="5760"/>
        </w:tabs>
        <w:ind w:left="5760" w:hanging="360"/>
      </w:pPr>
      <w:rPr>
        <w:rFonts w:ascii="Times" w:hAnsi="Times" w:hint="default"/>
      </w:rPr>
    </w:lvl>
    <w:lvl w:ilvl="8" w:tplc="D4126FE4"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6B34028B"/>
    <w:multiLevelType w:val="multilevel"/>
    <w:tmpl w:val="63C8774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DE4FF4"/>
    <w:multiLevelType w:val="hybridMultilevel"/>
    <w:tmpl w:val="5A6E9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A41E2"/>
    <w:multiLevelType w:val="hybridMultilevel"/>
    <w:tmpl w:val="7292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373CEE"/>
    <w:multiLevelType w:val="hybridMultilevel"/>
    <w:tmpl w:val="DAA20810"/>
    <w:lvl w:ilvl="0" w:tplc="E17E5E5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73D76"/>
    <w:multiLevelType w:val="hybridMultilevel"/>
    <w:tmpl w:val="375A0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8A61D9"/>
    <w:multiLevelType w:val="hybridMultilevel"/>
    <w:tmpl w:val="D00AAB10"/>
    <w:lvl w:ilvl="0" w:tplc="BF7C9F40">
      <w:start w:val="16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3"/>
  </w:num>
  <w:num w:numId="4">
    <w:abstractNumId w:val="10"/>
  </w:num>
  <w:num w:numId="5">
    <w:abstractNumId w:val="16"/>
  </w:num>
  <w:num w:numId="6">
    <w:abstractNumId w:val="3"/>
  </w:num>
  <w:num w:numId="7">
    <w:abstractNumId w:val="6"/>
  </w:num>
  <w:num w:numId="8">
    <w:abstractNumId w:val="19"/>
  </w:num>
  <w:num w:numId="9">
    <w:abstractNumId w:val="15"/>
  </w:num>
  <w:num w:numId="10">
    <w:abstractNumId w:val="7"/>
  </w:num>
  <w:num w:numId="11">
    <w:abstractNumId w:val="17"/>
  </w:num>
  <w:num w:numId="12">
    <w:abstractNumId w:val="11"/>
  </w:num>
  <w:num w:numId="13">
    <w:abstractNumId w:val="4"/>
  </w:num>
  <w:num w:numId="14">
    <w:abstractNumId w:val="0"/>
  </w:num>
  <w:num w:numId="15">
    <w:abstractNumId w:val="1"/>
  </w:num>
  <w:num w:numId="16">
    <w:abstractNumId w:val="18"/>
  </w:num>
  <w:num w:numId="17">
    <w:abstractNumId w:val="8"/>
  </w:num>
  <w:num w:numId="18">
    <w:abstractNumId w:val="2"/>
  </w:num>
  <w:num w:numId="19">
    <w:abstractNumId w:val="21"/>
  </w:num>
  <w:num w:numId="20">
    <w:abstractNumId w:val="12"/>
  </w:num>
  <w:num w:numId="21">
    <w:abstractNumId w:val="20"/>
  </w:num>
  <w:num w:numId="22">
    <w:abstractNumId w:val="14"/>
  </w:num>
  <w:num w:numId="23">
    <w:abstractNumId w:val="23"/>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pt-BR" w:vendorID="64" w:dllVersion="6" w:nlCheck="1" w:checkStyle="0"/>
  <w:activeWritingStyle w:appName="MSWord" w:lang="en-GB" w:vendorID="64" w:dllVersion="6" w:nlCheck="1" w:checkStyle="1"/>
  <w:activeWritingStyle w:appName="MSWord" w:lang="fr-CH" w:vendorID="64" w:dllVersion="6" w:nlCheck="1" w:checkStyle="1"/>
  <w:activeWritingStyle w:appName="MSWord" w:lang="es-AR" w:vendorID="64" w:dllVersion="6" w:nlCheck="1" w:checkStyle="1"/>
  <w:activeWritingStyle w:appName="MSWord" w:lang="en-US" w:vendorID="64" w:dllVersion="6" w:nlCheck="1" w:checkStyle="1"/>
  <w:activeWritingStyle w:appName="MSWord" w:lang="de-CH" w:vendorID="64" w:dllVersion="6" w:nlCheck="1" w:checkStyle="1"/>
  <w:activeWritingStyle w:appName="MSWord" w:lang="es-ES" w:vendorID="64" w:dllVersion="6" w:nlCheck="1" w:checkStyle="1"/>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0" w:nlCheck="1" w:checkStyle="0"/>
  <w:activeWritingStyle w:appName="MSWord" w:lang="de-CH"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00wzexvyx0rwnepeewp0zrqxtvpvz5epdra&quot;&gt;Almeida, I.C.&lt;record-ids&gt;&lt;item&gt;54&lt;/item&gt;&lt;item&gt;83&lt;/item&gt;&lt;item&gt;86&lt;/item&gt;&lt;item&gt;89&lt;/item&gt;&lt;item&gt;290&lt;/item&gt;&lt;/record-ids&gt;&lt;/item&gt;&lt;/Libraries&gt;"/>
  </w:docVars>
  <w:rsids>
    <w:rsidRoot w:val="00B32B9F"/>
    <w:rsid w:val="00000CE9"/>
    <w:rsid w:val="00000D3A"/>
    <w:rsid w:val="0000179D"/>
    <w:rsid w:val="00001911"/>
    <w:rsid w:val="00002C73"/>
    <w:rsid w:val="00005E20"/>
    <w:rsid w:val="00010C11"/>
    <w:rsid w:val="00011565"/>
    <w:rsid w:val="00011C12"/>
    <w:rsid w:val="0001208E"/>
    <w:rsid w:val="000123D0"/>
    <w:rsid w:val="00012A8A"/>
    <w:rsid w:val="00013731"/>
    <w:rsid w:val="0001400A"/>
    <w:rsid w:val="00021834"/>
    <w:rsid w:val="000218BD"/>
    <w:rsid w:val="00024D21"/>
    <w:rsid w:val="000264EC"/>
    <w:rsid w:val="00026534"/>
    <w:rsid w:val="0002730A"/>
    <w:rsid w:val="000273B0"/>
    <w:rsid w:val="00027832"/>
    <w:rsid w:val="00027C8C"/>
    <w:rsid w:val="00027D04"/>
    <w:rsid w:val="0003552E"/>
    <w:rsid w:val="00037BB1"/>
    <w:rsid w:val="000411B8"/>
    <w:rsid w:val="000417BF"/>
    <w:rsid w:val="000418EE"/>
    <w:rsid w:val="00042686"/>
    <w:rsid w:val="00043697"/>
    <w:rsid w:val="000437E2"/>
    <w:rsid w:val="00044186"/>
    <w:rsid w:val="000459A4"/>
    <w:rsid w:val="00051A0A"/>
    <w:rsid w:val="00053977"/>
    <w:rsid w:val="000555A0"/>
    <w:rsid w:val="0006024E"/>
    <w:rsid w:val="00061C64"/>
    <w:rsid w:val="0006421A"/>
    <w:rsid w:val="00064DDB"/>
    <w:rsid w:val="00066879"/>
    <w:rsid w:val="000701FB"/>
    <w:rsid w:val="000730E5"/>
    <w:rsid w:val="00073328"/>
    <w:rsid w:val="000760CC"/>
    <w:rsid w:val="00076E33"/>
    <w:rsid w:val="00083603"/>
    <w:rsid w:val="00083BD0"/>
    <w:rsid w:val="000841B7"/>
    <w:rsid w:val="00084923"/>
    <w:rsid w:val="00084A04"/>
    <w:rsid w:val="0009181F"/>
    <w:rsid w:val="00091C3D"/>
    <w:rsid w:val="00092C40"/>
    <w:rsid w:val="00093453"/>
    <w:rsid w:val="00096B92"/>
    <w:rsid w:val="00096EE4"/>
    <w:rsid w:val="0009702C"/>
    <w:rsid w:val="0009705A"/>
    <w:rsid w:val="00097267"/>
    <w:rsid w:val="000A00E4"/>
    <w:rsid w:val="000A0803"/>
    <w:rsid w:val="000A2CB8"/>
    <w:rsid w:val="000A492D"/>
    <w:rsid w:val="000A50C0"/>
    <w:rsid w:val="000A59F8"/>
    <w:rsid w:val="000A6EFF"/>
    <w:rsid w:val="000B11C5"/>
    <w:rsid w:val="000B202C"/>
    <w:rsid w:val="000B216C"/>
    <w:rsid w:val="000B38E3"/>
    <w:rsid w:val="000B52CF"/>
    <w:rsid w:val="000B55A2"/>
    <w:rsid w:val="000B6A7E"/>
    <w:rsid w:val="000C0ECF"/>
    <w:rsid w:val="000C2845"/>
    <w:rsid w:val="000C2B0A"/>
    <w:rsid w:val="000C2E72"/>
    <w:rsid w:val="000C3B81"/>
    <w:rsid w:val="000C44BA"/>
    <w:rsid w:val="000C4EF7"/>
    <w:rsid w:val="000C61E9"/>
    <w:rsid w:val="000C73E0"/>
    <w:rsid w:val="000D0AA2"/>
    <w:rsid w:val="000D0B04"/>
    <w:rsid w:val="000D1067"/>
    <w:rsid w:val="000D2C40"/>
    <w:rsid w:val="000D31FD"/>
    <w:rsid w:val="000D3566"/>
    <w:rsid w:val="000D4EAF"/>
    <w:rsid w:val="000E03BC"/>
    <w:rsid w:val="000E3E56"/>
    <w:rsid w:val="000E45D4"/>
    <w:rsid w:val="000E50F1"/>
    <w:rsid w:val="000F3AD9"/>
    <w:rsid w:val="000F6D48"/>
    <w:rsid w:val="000F7823"/>
    <w:rsid w:val="00101081"/>
    <w:rsid w:val="001024A1"/>
    <w:rsid w:val="00103EBA"/>
    <w:rsid w:val="001047E3"/>
    <w:rsid w:val="001049CE"/>
    <w:rsid w:val="00104AC1"/>
    <w:rsid w:val="00106B88"/>
    <w:rsid w:val="00106F27"/>
    <w:rsid w:val="00107A9F"/>
    <w:rsid w:val="001104AF"/>
    <w:rsid w:val="0011173C"/>
    <w:rsid w:val="00111DD0"/>
    <w:rsid w:val="001139F2"/>
    <w:rsid w:val="00114DBA"/>
    <w:rsid w:val="00115053"/>
    <w:rsid w:val="00115801"/>
    <w:rsid w:val="00115E4C"/>
    <w:rsid w:val="001204BC"/>
    <w:rsid w:val="0012085D"/>
    <w:rsid w:val="00121F8D"/>
    <w:rsid w:val="00123BA0"/>
    <w:rsid w:val="00123BB0"/>
    <w:rsid w:val="00124FFD"/>
    <w:rsid w:val="001277AF"/>
    <w:rsid w:val="00130E62"/>
    <w:rsid w:val="0013180C"/>
    <w:rsid w:val="001319B2"/>
    <w:rsid w:val="00132B61"/>
    <w:rsid w:val="001356D9"/>
    <w:rsid w:val="00136C36"/>
    <w:rsid w:val="0014039A"/>
    <w:rsid w:val="001444CD"/>
    <w:rsid w:val="00144741"/>
    <w:rsid w:val="00144969"/>
    <w:rsid w:val="00146BCC"/>
    <w:rsid w:val="0015189E"/>
    <w:rsid w:val="00152867"/>
    <w:rsid w:val="00153E93"/>
    <w:rsid w:val="00154850"/>
    <w:rsid w:val="00156638"/>
    <w:rsid w:val="001566BA"/>
    <w:rsid w:val="00156C0B"/>
    <w:rsid w:val="00157AE6"/>
    <w:rsid w:val="00157D20"/>
    <w:rsid w:val="00157ED8"/>
    <w:rsid w:val="001618B9"/>
    <w:rsid w:val="00162D39"/>
    <w:rsid w:val="00163A07"/>
    <w:rsid w:val="00163F82"/>
    <w:rsid w:val="00165767"/>
    <w:rsid w:val="001664F5"/>
    <w:rsid w:val="001711D2"/>
    <w:rsid w:val="001711FD"/>
    <w:rsid w:val="0017179E"/>
    <w:rsid w:val="00172190"/>
    <w:rsid w:val="00172AE0"/>
    <w:rsid w:val="001730E0"/>
    <w:rsid w:val="00175317"/>
    <w:rsid w:val="00176482"/>
    <w:rsid w:val="001767CC"/>
    <w:rsid w:val="00176954"/>
    <w:rsid w:val="00177B29"/>
    <w:rsid w:val="00182F07"/>
    <w:rsid w:val="001830D8"/>
    <w:rsid w:val="00184CF0"/>
    <w:rsid w:val="0018504D"/>
    <w:rsid w:val="001858B9"/>
    <w:rsid w:val="00187B12"/>
    <w:rsid w:val="00190CC7"/>
    <w:rsid w:val="00192EA5"/>
    <w:rsid w:val="00193401"/>
    <w:rsid w:val="00194D60"/>
    <w:rsid w:val="00196141"/>
    <w:rsid w:val="00197C7A"/>
    <w:rsid w:val="001A0B73"/>
    <w:rsid w:val="001A1599"/>
    <w:rsid w:val="001A1690"/>
    <w:rsid w:val="001A1987"/>
    <w:rsid w:val="001A2C40"/>
    <w:rsid w:val="001A52E0"/>
    <w:rsid w:val="001B0520"/>
    <w:rsid w:val="001B31C0"/>
    <w:rsid w:val="001B345C"/>
    <w:rsid w:val="001B352F"/>
    <w:rsid w:val="001B76CA"/>
    <w:rsid w:val="001C08FC"/>
    <w:rsid w:val="001C0BB7"/>
    <w:rsid w:val="001C147D"/>
    <w:rsid w:val="001C29C5"/>
    <w:rsid w:val="001C2ACD"/>
    <w:rsid w:val="001C3AB7"/>
    <w:rsid w:val="001C6DF0"/>
    <w:rsid w:val="001C74C5"/>
    <w:rsid w:val="001C7F78"/>
    <w:rsid w:val="001D078E"/>
    <w:rsid w:val="001D1061"/>
    <w:rsid w:val="001D3076"/>
    <w:rsid w:val="001D4830"/>
    <w:rsid w:val="001D7389"/>
    <w:rsid w:val="001D7A77"/>
    <w:rsid w:val="001D7BBE"/>
    <w:rsid w:val="001E0DB9"/>
    <w:rsid w:val="001E297E"/>
    <w:rsid w:val="001E7942"/>
    <w:rsid w:val="001F13A8"/>
    <w:rsid w:val="001F217A"/>
    <w:rsid w:val="001F2BB9"/>
    <w:rsid w:val="001F68A5"/>
    <w:rsid w:val="001F6CEC"/>
    <w:rsid w:val="0020238F"/>
    <w:rsid w:val="0020363B"/>
    <w:rsid w:val="002038B7"/>
    <w:rsid w:val="0020570F"/>
    <w:rsid w:val="00206617"/>
    <w:rsid w:val="00211317"/>
    <w:rsid w:val="002114B2"/>
    <w:rsid w:val="00211E2D"/>
    <w:rsid w:val="002122D1"/>
    <w:rsid w:val="00212A8B"/>
    <w:rsid w:val="0021609F"/>
    <w:rsid w:val="00217CA5"/>
    <w:rsid w:val="0022051B"/>
    <w:rsid w:val="00220A1F"/>
    <w:rsid w:val="00221447"/>
    <w:rsid w:val="00222A67"/>
    <w:rsid w:val="00223A50"/>
    <w:rsid w:val="00227751"/>
    <w:rsid w:val="00230476"/>
    <w:rsid w:val="00231DD4"/>
    <w:rsid w:val="002329A5"/>
    <w:rsid w:val="00232C23"/>
    <w:rsid w:val="0023791A"/>
    <w:rsid w:val="00237C29"/>
    <w:rsid w:val="00237DFF"/>
    <w:rsid w:val="00240776"/>
    <w:rsid w:val="00242266"/>
    <w:rsid w:val="0024245C"/>
    <w:rsid w:val="00245E06"/>
    <w:rsid w:val="00250B6A"/>
    <w:rsid w:val="00252C88"/>
    <w:rsid w:val="002538EE"/>
    <w:rsid w:val="00253C65"/>
    <w:rsid w:val="002550EC"/>
    <w:rsid w:val="00255594"/>
    <w:rsid w:val="00255EAC"/>
    <w:rsid w:val="00257D07"/>
    <w:rsid w:val="00257D95"/>
    <w:rsid w:val="00260A80"/>
    <w:rsid w:val="00261D43"/>
    <w:rsid w:val="00264C15"/>
    <w:rsid w:val="00266A5F"/>
    <w:rsid w:val="002707B1"/>
    <w:rsid w:val="002731E1"/>
    <w:rsid w:val="0027341A"/>
    <w:rsid w:val="00274E46"/>
    <w:rsid w:val="00275736"/>
    <w:rsid w:val="00275760"/>
    <w:rsid w:val="002768D2"/>
    <w:rsid w:val="00277488"/>
    <w:rsid w:val="00280821"/>
    <w:rsid w:val="00280908"/>
    <w:rsid w:val="002810BE"/>
    <w:rsid w:val="00282501"/>
    <w:rsid w:val="002833CA"/>
    <w:rsid w:val="00284B61"/>
    <w:rsid w:val="00285C00"/>
    <w:rsid w:val="00287899"/>
    <w:rsid w:val="002916D3"/>
    <w:rsid w:val="00291FE2"/>
    <w:rsid w:val="00292D41"/>
    <w:rsid w:val="00292F0F"/>
    <w:rsid w:val="0029304D"/>
    <w:rsid w:val="002A05D8"/>
    <w:rsid w:val="002A1319"/>
    <w:rsid w:val="002A2424"/>
    <w:rsid w:val="002A2E7F"/>
    <w:rsid w:val="002A397E"/>
    <w:rsid w:val="002A4098"/>
    <w:rsid w:val="002A4626"/>
    <w:rsid w:val="002A4638"/>
    <w:rsid w:val="002A74CE"/>
    <w:rsid w:val="002B0774"/>
    <w:rsid w:val="002B090E"/>
    <w:rsid w:val="002B1385"/>
    <w:rsid w:val="002B2276"/>
    <w:rsid w:val="002B42B9"/>
    <w:rsid w:val="002C249F"/>
    <w:rsid w:val="002C2C89"/>
    <w:rsid w:val="002C2E07"/>
    <w:rsid w:val="002C4ABD"/>
    <w:rsid w:val="002C4D70"/>
    <w:rsid w:val="002C5798"/>
    <w:rsid w:val="002C5CC0"/>
    <w:rsid w:val="002C691C"/>
    <w:rsid w:val="002D12D6"/>
    <w:rsid w:val="002D308C"/>
    <w:rsid w:val="002D345E"/>
    <w:rsid w:val="002D48E2"/>
    <w:rsid w:val="002D5C27"/>
    <w:rsid w:val="002E01FE"/>
    <w:rsid w:val="002E21B3"/>
    <w:rsid w:val="002E28BA"/>
    <w:rsid w:val="002E28D6"/>
    <w:rsid w:val="002E3F2A"/>
    <w:rsid w:val="002E6881"/>
    <w:rsid w:val="002E6A02"/>
    <w:rsid w:val="002E6DBB"/>
    <w:rsid w:val="002E6F2D"/>
    <w:rsid w:val="002F0B18"/>
    <w:rsid w:val="002F28B5"/>
    <w:rsid w:val="002F3E43"/>
    <w:rsid w:val="002F472D"/>
    <w:rsid w:val="002F5E3E"/>
    <w:rsid w:val="00301620"/>
    <w:rsid w:val="00303BFB"/>
    <w:rsid w:val="003045D0"/>
    <w:rsid w:val="0030530C"/>
    <w:rsid w:val="00305331"/>
    <w:rsid w:val="00306AAD"/>
    <w:rsid w:val="00307640"/>
    <w:rsid w:val="0031071F"/>
    <w:rsid w:val="00314F50"/>
    <w:rsid w:val="00320D4F"/>
    <w:rsid w:val="00321096"/>
    <w:rsid w:val="003212A8"/>
    <w:rsid w:val="00321BC8"/>
    <w:rsid w:val="00322213"/>
    <w:rsid w:val="00325514"/>
    <w:rsid w:val="00325A19"/>
    <w:rsid w:val="00326251"/>
    <w:rsid w:val="0032649D"/>
    <w:rsid w:val="003335AC"/>
    <w:rsid w:val="00335A39"/>
    <w:rsid w:val="00337A28"/>
    <w:rsid w:val="00337E0E"/>
    <w:rsid w:val="003402BD"/>
    <w:rsid w:val="003419A1"/>
    <w:rsid w:val="00341F7E"/>
    <w:rsid w:val="00343018"/>
    <w:rsid w:val="00343BCB"/>
    <w:rsid w:val="00344D46"/>
    <w:rsid w:val="00344FF0"/>
    <w:rsid w:val="00345344"/>
    <w:rsid w:val="003478A8"/>
    <w:rsid w:val="00350E74"/>
    <w:rsid w:val="00351397"/>
    <w:rsid w:val="00351B00"/>
    <w:rsid w:val="00352E5D"/>
    <w:rsid w:val="00353BA9"/>
    <w:rsid w:val="00353DF2"/>
    <w:rsid w:val="003546F7"/>
    <w:rsid w:val="00355D85"/>
    <w:rsid w:val="00356AFC"/>
    <w:rsid w:val="00356DA6"/>
    <w:rsid w:val="00361518"/>
    <w:rsid w:val="0036263F"/>
    <w:rsid w:val="00362808"/>
    <w:rsid w:val="00362D55"/>
    <w:rsid w:val="00362E69"/>
    <w:rsid w:val="0036603E"/>
    <w:rsid w:val="00370095"/>
    <w:rsid w:val="003702D7"/>
    <w:rsid w:val="0037034F"/>
    <w:rsid w:val="003733BC"/>
    <w:rsid w:val="00373514"/>
    <w:rsid w:val="003741AA"/>
    <w:rsid w:val="0037682A"/>
    <w:rsid w:val="00377DBC"/>
    <w:rsid w:val="00381472"/>
    <w:rsid w:val="0038314F"/>
    <w:rsid w:val="003845CB"/>
    <w:rsid w:val="00385A6C"/>
    <w:rsid w:val="003900FE"/>
    <w:rsid w:val="00393061"/>
    <w:rsid w:val="0039557C"/>
    <w:rsid w:val="00395AB0"/>
    <w:rsid w:val="0039686E"/>
    <w:rsid w:val="00397C4D"/>
    <w:rsid w:val="003A011B"/>
    <w:rsid w:val="003A20E3"/>
    <w:rsid w:val="003A3B99"/>
    <w:rsid w:val="003A5D32"/>
    <w:rsid w:val="003A6FDF"/>
    <w:rsid w:val="003A7A01"/>
    <w:rsid w:val="003A7AFE"/>
    <w:rsid w:val="003B192F"/>
    <w:rsid w:val="003B3B57"/>
    <w:rsid w:val="003C0236"/>
    <w:rsid w:val="003C392D"/>
    <w:rsid w:val="003C3A76"/>
    <w:rsid w:val="003C3AB2"/>
    <w:rsid w:val="003C4579"/>
    <w:rsid w:val="003C473E"/>
    <w:rsid w:val="003C5436"/>
    <w:rsid w:val="003C70DE"/>
    <w:rsid w:val="003D02B6"/>
    <w:rsid w:val="003D134A"/>
    <w:rsid w:val="003D412B"/>
    <w:rsid w:val="003D46CA"/>
    <w:rsid w:val="003D5C4D"/>
    <w:rsid w:val="003E077D"/>
    <w:rsid w:val="003E1677"/>
    <w:rsid w:val="003E1E81"/>
    <w:rsid w:val="003E2933"/>
    <w:rsid w:val="003E38D1"/>
    <w:rsid w:val="003E42EA"/>
    <w:rsid w:val="003E5532"/>
    <w:rsid w:val="003E5A57"/>
    <w:rsid w:val="003E697E"/>
    <w:rsid w:val="003E6ECB"/>
    <w:rsid w:val="003E7615"/>
    <w:rsid w:val="003F1931"/>
    <w:rsid w:val="003F49A9"/>
    <w:rsid w:val="003F62D0"/>
    <w:rsid w:val="003F64E4"/>
    <w:rsid w:val="003F6F3F"/>
    <w:rsid w:val="00401472"/>
    <w:rsid w:val="00401A53"/>
    <w:rsid w:val="00402675"/>
    <w:rsid w:val="00402E86"/>
    <w:rsid w:val="00402FBA"/>
    <w:rsid w:val="00403746"/>
    <w:rsid w:val="004043D6"/>
    <w:rsid w:val="00406530"/>
    <w:rsid w:val="004110CE"/>
    <w:rsid w:val="004115CF"/>
    <w:rsid w:val="004131FC"/>
    <w:rsid w:val="00413B47"/>
    <w:rsid w:val="0041687C"/>
    <w:rsid w:val="00417E8F"/>
    <w:rsid w:val="00421133"/>
    <w:rsid w:val="00421CBD"/>
    <w:rsid w:val="004231D9"/>
    <w:rsid w:val="00423DBC"/>
    <w:rsid w:val="00426F9B"/>
    <w:rsid w:val="0043062B"/>
    <w:rsid w:val="00430D7C"/>
    <w:rsid w:val="00431C7A"/>
    <w:rsid w:val="00431DE6"/>
    <w:rsid w:val="0043222F"/>
    <w:rsid w:val="00433AEF"/>
    <w:rsid w:val="00434FA1"/>
    <w:rsid w:val="0043640C"/>
    <w:rsid w:val="0044137B"/>
    <w:rsid w:val="00444244"/>
    <w:rsid w:val="00444C41"/>
    <w:rsid w:val="00446B0D"/>
    <w:rsid w:val="00447725"/>
    <w:rsid w:val="0045108A"/>
    <w:rsid w:val="00451A61"/>
    <w:rsid w:val="00452576"/>
    <w:rsid w:val="0045288B"/>
    <w:rsid w:val="004530E1"/>
    <w:rsid w:val="0045456C"/>
    <w:rsid w:val="004545C2"/>
    <w:rsid w:val="00460D4E"/>
    <w:rsid w:val="0046104A"/>
    <w:rsid w:val="00461B00"/>
    <w:rsid w:val="00461B0C"/>
    <w:rsid w:val="00463B13"/>
    <w:rsid w:val="004640DB"/>
    <w:rsid w:val="004649A5"/>
    <w:rsid w:val="00464A8D"/>
    <w:rsid w:val="00465BBA"/>
    <w:rsid w:val="00466067"/>
    <w:rsid w:val="00470731"/>
    <w:rsid w:val="004709EC"/>
    <w:rsid w:val="0047149D"/>
    <w:rsid w:val="004721FD"/>
    <w:rsid w:val="0047331E"/>
    <w:rsid w:val="004734BB"/>
    <w:rsid w:val="00473D7F"/>
    <w:rsid w:val="00474B34"/>
    <w:rsid w:val="00475684"/>
    <w:rsid w:val="00475B94"/>
    <w:rsid w:val="00475EF8"/>
    <w:rsid w:val="00477E53"/>
    <w:rsid w:val="00480F06"/>
    <w:rsid w:val="0048355D"/>
    <w:rsid w:val="00483568"/>
    <w:rsid w:val="00485B75"/>
    <w:rsid w:val="004866AB"/>
    <w:rsid w:val="00486F43"/>
    <w:rsid w:val="00490E73"/>
    <w:rsid w:val="00492056"/>
    <w:rsid w:val="0049231B"/>
    <w:rsid w:val="004929CC"/>
    <w:rsid w:val="00493771"/>
    <w:rsid w:val="00494D93"/>
    <w:rsid w:val="004965A7"/>
    <w:rsid w:val="004970FE"/>
    <w:rsid w:val="004A1571"/>
    <w:rsid w:val="004A1851"/>
    <w:rsid w:val="004A3DEA"/>
    <w:rsid w:val="004A4FA0"/>
    <w:rsid w:val="004A5C26"/>
    <w:rsid w:val="004B1A72"/>
    <w:rsid w:val="004B3BA4"/>
    <w:rsid w:val="004B4318"/>
    <w:rsid w:val="004B74E9"/>
    <w:rsid w:val="004B7DBE"/>
    <w:rsid w:val="004C1AE1"/>
    <w:rsid w:val="004C3427"/>
    <w:rsid w:val="004C3FC2"/>
    <w:rsid w:val="004C58F8"/>
    <w:rsid w:val="004C7B68"/>
    <w:rsid w:val="004C7F69"/>
    <w:rsid w:val="004D0E8B"/>
    <w:rsid w:val="004D3630"/>
    <w:rsid w:val="004D53AF"/>
    <w:rsid w:val="004D5F93"/>
    <w:rsid w:val="004E0499"/>
    <w:rsid w:val="004E188C"/>
    <w:rsid w:val="004E378C"/>
    <w:rsid w:val="004E3CD2"/>
    <w:rsid w:val="004E520E"/>
    <w:rsid w:val="004E6724"/>
    <w:rsid w:val="004E6DAC"/>
    <w:rsid w:val="004F1337"/>
    <w:rsid w:val="004F19D8"/>
    <w:rsid w:val="004F21E1"/>
    <w:rsid w:val="004F499D"/>
    <w:rsid w:val="004F4D48"/>
    <w:rsid w:val="004F65AA"/>
    <w:rsid w:val="004F7377"/>
    <w:rsid w:val="004F7A20"/>
    <w:rsid w:val="00500378"/>
    <w:rsid w:val="005022D1"/>
    <w:rsid w:val="005023C6"/>
    <w:rsid w:val="005039BE"/>
    <w:rsid w:val="0050657C"/>
    <w:rsid w:val="00506E0C"/>
    <w:rsid w:val="0051013C"/>
    <w:rsid w:val="00510754"/>
    <w:rsid w:val="0051228E"/>
    <w:rsid w:val="00512C02"/>
    <w:rsid w:val="005133B2"/>
    <w:rsid w:val="00513733"/>
    <w:rsid w:val="00513B27"/>
    <w:rsid w:val="005177E1"/>
    <w:rsid w:val="00520E48"/>
    <w:rsid w:val="005224C6"/>
    <w:rsid w:val="00523809"/>
    <w:rsid w:val="00524344"/>
    <w:rsid w:val="0052523C"/>
    <w:rsid w:val="00526CE7"/>
    <w:rsid w:val="00527F9A"/>
    <w:rsid w:val="00530ED3"/>
    <w:rsid w:val="00531D39"/>
    <w:rsid w:val="00533270"/>
    <w:rsid w:val="005377BE"/>
    <w:rsid w:val="00540219"/>
    <w:rsid w:val="005405D8"/>
    <w:rsid w:val="00540BC2"/>
    <w:rsid w:val="00540C5C"/>
    <w:rsid w:val="005434A7"/>
    <w:rsid w:val="005513B2"/>
    <w:rsid w:val="00552F5E"/>
    <w:rsid w:val="0055403D"/>
    <w:rsid w:val="0055493D"/>
    <w:rsid w:val="005551BE"/>
    <w:rsid w:val="0055720E"/>
    <w:rsid w:val="00561D53"/>
    <w:rsid w:val="00564FB8"/>
    <w:rsid w:val="00565DD6"/>
    <w:rsid w:val="00566021"/>
    <w:rsid w:val="00567947"/>
    <w:rsid w:val="00567BB4"/>
    <w:rsid w:val="00567DD5"/>
    <w:rsid w:val="00570860"/>
    <w:rsid w:val="00571FB6"/>
    <w:rsid w:val="0057483A"/>
    <w:rsid w:val="005755B4"/>
    <w:rsid w:val="00575852"/>
    <w:rsid w:val="00576E77"/>
    <w:rsid w:val="0057742E"/>
    <w:rsid w:val="00581F24"/>
    <w:rsid w:val="0058346C"/>
    <w:rsid w:val="0058393A"/>
    <w:rsid w:val="005843F7"/>
    <w:rsid w:val="00585BC8"/>
    <w:rsid w:val="00585C7E"/>
    <w:rsid w:val="005861DC"/>
    <w:rsid w:val="00591270"/>
    <w:rsid w:val="0059299B"/>
    <w:rsid w:val="005929FE"/>
    <w:rsid w:val="00592ED0"/>
    <w:rsid w:val="00594460"/>
    <w:rsid w:val="00597B7D"/>
    <w:rsid w:val="005A1A1B"/>
    <w:rsid w:val="005A3DCE"/>
    <w:rsid w:val="005A5BCF"/>
    <w:rsid w:val="005A7B46"/>
    <w:rsid w:val="005B15E4"/>
    <w:rsid w:val="005B37FC"/>
    <w:rsid w:val="005B4ED3"/>
    <w:rsid w:val="005B5BCD"/>
    <w:rsid w:val="005B6989"/>
    <w:rsid w:val="005B7AC3"/>
    <w:rsid w:val="005C0FC9"/>
    <w:rsid w:val="005C10E1"/>
    <w:rsid w:val="005C1254"/>
    <w:rsid w:val="005C3535"/>
    <w:rsid w:val="005C7865"/>
    <w:rsid w:val="005D0479"/>
    <w:rsid w:val="005D3614"/>
    <w:rsid w:val="005D5765"/>
    <w:rsid w:val="005D6E2E"/>
    <w:rsid w:val="005E0B81"/>
    <w:rsid w:val="005E1519"/>
    <w:rsid w:val="005E1C23"/>
    <w:rsid w:val="005E6402"/>
    <w:rsid w:val="005F0CCA"/>
    <w:rsid w:val="005F1599"/>
    <w:rsid w:val="005F257F"/>
    <w:rsid w:val="005F2B45"/>
    <w:rsid w:val="005F48FC"/>
    <w:rsid w:val="005F6AA1"/>
    <w:rsid w:val="005F706B"/>
    <w:rsid w:val="005F7B62"/>
    <w:rsid w:val="00604593"/>
    <w:rsid w:val="00605BAC"/>
    <w:rsid w:val="00606B99"/>
    <w:rsid w:val="006103EC"/>
    <w:rsid w:val="00610C41"/>
    <w:rsid w:val="00611CB7"/>
    <w:rsid w:val="006134AB"/>
    <w:rsid w:val="006157D0"/>
    <w:rsid w:val="006159D6"/>
    <w:rsid w:val="0062065E"/>
    <w:rsid w:val="00621C99"/>
    <w:rsid w:val="00621D59"/>
    <w:rsid w:val="00624B40"/>
    <w:rsid w:val="00625480"/>
    <w:rsid w:val="0062574B"/>
    <w:rsid w:val="00626413"/>
    <w:rsid w:val="0063060E"/>
    <w:rsid w:val="00630BDF"/>
    <w:rsid w:val="00633057"/>
    <w:rsid w:val="00633A01"/>
    <w:rsid w:val="0063471A"/>
    <w:rsid w:val="0063545D"/>
    <w:rsid w:val="00640576"/>
    <w:rsid w:val="00642173"/>
    <w:rsid w:val="00644598"/>
    <w:rsid w:val="00644ACB"/>
    <w:rsid w:val="00645573"/>
    <w:rsid w:val="006518DD"/>
    <w:rsid w:val="00652E0B"/>
    <w:rsid w:val="0065470C"/>
    <w:rsid w:val="0065761C"/>
    <w:rsid w:val="006606EB"/>
    <w:rsid w:val="00661D91"/>
    <w:rsid w:val="00663F1D"/>
    <w:rsid w:val="00666081"/>
    <w:rsid w:val="0066787B"/>
    <w:rsid w:val="00673187"/>
    <w:rsid w:val="0067372F"/>
    <w:rsid w:val="00673925"/>
    <w:rsid w:val="00674267"/>
    <w:rsid w:val="00674A55"/>
    <w:rsid w:val="00675F1C"/>
    <w:rsid w:val="0067676F"/>
    <w:rsid w:val="00680A7F"/>
    <w:rsid w:val="00680AC9"/>
    <w:rsid w:val="0068169D"/>
    <w:rsid w:val="00681AA7"/>
    <w:rsid w:val="00681C64"/>
    <w:rsid w:val="0068224B"/>
    <w:rsid w:val="0068246D"/>
    <w:rsid w:val="00682FDC"/>
    <w:rsid w:val="006841C0"/>
    <w:rsid w:val="00685B53"/>
    <w:rsid w:val="00685D02"/>
    <w:rsid w:val="00690F78"/>
    <w:rsid w:val="00693226"/>
    <w:rsid w:val="00693BC4"/>
    <w:rsid w:val="006940B3"/>
    <w:rsid w:val="0069431F"/>
    <w:rsid w:val="0069496E"/>
    <w:rsid w:val="006A03C8"/>
    <w:rsid w:val="006A0BD3"/>
    <w:rsid w:val="006A125A"/>
    <w:rsid w:val="006A1273"/>
    <w:rsid w:val="006A4E42"/>
    <w:rsid w:val="006A6396"/>
    <w:rsid w:val="006A7727"/>
    <w:rsid w:val="006B0A49"/>
    <w:rsid w:val="006B4749"/>
    <w:rsid w:val="006B49D1"/>
    <w:rsid w:val="006B4F57"/>
    <w:rsid w:val="006B688B"/>
    <w:rsid w:val="006B6B7B"/>
    <w:rsid w:val="006C0517"/>
    <w:rsid w:val="006C116B"/>
    <w:rsid w:val="006C141E"/>
    <w:rsid w:val="006C2FCF"/>
    <w:rsid w:val="006C497C"/>
    <w:rsid w:val="006C5818"/>
    <w:rsid w:val="006C662C"/>
    <w:rsid w:val="006C6C3C"/>
    <w:rsid w:val="006C765C"/>
    <w:rsid w:val="006C7F49"/>
    <w:rsid w:val="006D06EF"/>
    <w:rsid w:val="006D0EF0"/>
    <w:rsid w:val="006D0FAB"/>
    <w:rsid w:val="006D224E"/>
    <w:rsid w:val="006D3583"/>
    <w:rsid w:val="006D5B17"/>
    <w:rsid w:val="006E00C8"/>
    <w:rsid w:val="006E09C6"/>
    <w:rsid w:val="006E1DC1"/>
    <w:rsid w:val="006E4B83"/>
    <w:rsid w:val="006F1B6E"/>
    <w:rsid w:val="006F280A"/>
    <w:rsid w:val="006F2C1C"/>
    <w:rsid w:val="006F2D31"/>
    <w:rsid w:val="006F2EF3"/>
    <w:rsid w:val="006F32CE"/>
    <w:rsid w:val="006F4ACC"/>
    <w:rsid w:val="006F610E"/>
    <w:rsid w:val="006F6134"/>
    <w:rsid w:val="006F625B"/>
    <w:rsid w:val="006F7168"/>
    <w:rsid w:val="006F75ED"/>
    <w:rsid w:val="007003FD"/>
    <w:rsid w:val="00700565"/>
    <w:rsid w:val="00702049"/>
    <w:rsid w:val="00704196"/>
    <w:rsid w:val="007058C1"/>
    <w:rsid w:val="007069B3"/>
    <w:rsid w:val="00706E25"/>
    <w:rsid w:val="00711CE4"/>
    <w:rsid w:val="00713510"/>
    <w:rsid w:val="00713B79"/>
    <w:rsid w:val="0071420A"/>
    <w:rsid w:val="007148AE"/>
    <w:rsid w:val="00714B66"/>
    <w:rsid w:val="00717012"/>
    <w:rsid w:val="0072016D"/>
    <w:rsid w:val="007206A7"/>
    <w:rsid w:val="00722700"/>
    <w:rsid w:val="007236A7"/>
    <w:rsid w:val="00725BBD"/>
    <w:rsid w:val="0072641C"/>
    <w:rsid w:val="0072721B"/>
    <w:rsid w:val="00730283"/>
    <w:rsid w:val="0073107B"/>
    <w:rsid w:val="00733B9E"/>
    <w:rsid w:val="00735BBD"/>
    <w:rsid w:val="00736B39"/>
    <w:rsid w:val="00737F10"/>
    <w:rsid w:val="0074261B"/>
    <w:rsid w:val="00746C92"/>
    <w:rsid w:val="007473FB"/>
    <w:rsid w:val="00747F0B"/>
    <w:rsid w:val="00750741"/>
    <w:rsid w:val="007517A9"/>
    <w:rsid w:val="0075253B"/>
    <w:rsid w:val="00752FA5"/>
    <w:rsid w:val="00753607"/>
    <w:rsid w:val="0075610D"/>
    <w:rsid w:val="00761A01"/>
    <w:rsid w:val="007634BE"/>
    <w:rsid w:val="00764F5D"/>
    <w:rsid w:val="007651B8"/>
    <w:rsid w:val="00766375"/>
    <w:rsid w:val="00766639"/>
    <w:rsid w:val="00771B2C"/>
    <w:rsid w:val="00772E40"/>
    <w:rsid w:val="00780EF2"/>
    <w:rsid w:val="00781783"/>
    <w:rsid w:val="0078249F"/>
    <w:rsid w:val="007857FB"/>
    <w:rsid w:val="00785AC9"/>
    <w:rsid w:val="0078642E"/>
    <w:rsid w:val="007917BE"/>
    <w:rsid w:val="00792F89"/>
    <w:rsid w:val="0079467E"/>
    <w:rsid w:val="007947D1"/>
    <w:rsid w:val="007A338B"/>
    <w:rsid w:val="007A3C3B"/>
    <w:rsid w:val="007A3ED2"/>
    <w:rsid w:val="007A58D4"/>
    <w:rsid w:val="007A5983"/>
    <w:rsid w:val="007A7A65"/>
    <w:rsid w:val="007B0776"/>
    <w:rsid w:val="007B2AEA"/>
    <w:rsid w:val="007B316E"/>
    <w:rsid w:val="007B3A29"/>
    <w:rsid w:val="007B4D4E"/>
    <w:rsid w:val="007B56C5"/>
    <w:rsid w:val="007B5AEF"/>
    <w:rsid w:val="007C00B1"/>
    <w:rsid w:val="007C0393"/>
    <w:rsid w:val="007C20BA"/>
    <w:rsid w:val="007C2DC9"/>
    <w:rsid w:val="007C38C7"/>
    <w:rsid w:val="007C39A8"/>
    <w:rsid w:val="007C3DF9"/>
    <w:rsid w:val="007C4642"/>
    <w:rsid w:val="007C5355"/>
    <w:rsid w:val="007C6691"/>
    <w:rsid w:val="007D0AE0"/>
    <w:rsid w:val="007D0DB6"/>
    <w:rsid w:val="007D2405"/>
    <w:rsid w:val="007D2705"/>
    <w:rsid w:val="007D475D"/>
    <w:rsid w:val="007D484D"/>
    <w:rsid w:val="007D63A6"/>
    <w:rsid w:val="007D7582"/>
    <w:rsid w:val="007E08BB"/>
    <w:rsid w:val="007E131E"/>
    <w:rsid w:val="007E1D33"/>
    <w:rsid w:val="007E2BF8"/>
    <w:rsid w:val="007E3E1A"/>
    <w:rsid w:val="007E411D"/>
    <w:rsid w:val="007E4B28"/>
    <w:rsid w:val="007E4E2B"/>
    <w:rsid w:val="007E6099"/>
    <w:rsid w:val="007F09F3"/>
    <w:rsid w:val="007F2B9D"/>
    <w:rsid w:val="007F3F1D"/>
    <w:rsid w:val="007F56E1"/>
    <w:rsid w:val="007F72A9"/>
    <w:rsid w:val="007F74F2"/>
    <w:rsid w:val="007F7EBD"/>
    <w:rsid w:val="007F7F10"/>
    <w:rsid w:val="008007B9"/>
    <w:rsid w:val="00801F09"/>
    <w:rsid w:val="00802188"/>
    <w:rsid w:val="00804543"/>
    <w:rsid w:val="00805259"/>
    <w:rsid w:val="00805DAB"/>
    <w:rsid w:val="008122E9"/>
    <w:rsid w:val="00812D97"/>
    <w:rsid w:val="0081432B"/>
    <w:rsid w:val="008163B4"/>
    <w:rsid w:val="00820516"/>
    <w:rsid w:val="0082074A"/>
    <w:rsid w:val="008226C2"/>
    <w:rsid w:val="008227C4"/>
    <w:rsid w:val="00822B3A"/>
    <w:rsid w:val="008232E5"/>
    <w:rsid w:val="008235B9"/>
    <w:rsid w:val="00824492"/>
    <w:rsid w:val="00826F6A"/>
    <w:rsid w:val="00830DAE"/>
    <w:rsid w:val="00830F96"/>
    <w:rsid w:val="00832F68"/>
    <w:rsid w:val="00833A91"/>
    <w:rsid w:val="008379B3"/>
    <w:rsid w:val="008445A1"/>
    <w:rsid w:val="008457DB"/>
    <w:rsid w:val="00846B56"/>
    <w:rsid w:val="00846D4E"/>
    <w:rsid w:val="00851829"/>
    <w:rsid w:val="00854F24"/>
    <w:rsid w:val="0085786C"/>
    <w:rsid w:val="00857B7D"/>
    <w:rsid w:val="00863CE8"/>
    <w:rsid w:val="00863D2B"/>
    <w:rsid w:val="00865E1E"/>
    <w:rsid w:val="00867EA6"/>
    <w:rsid w:val="0087252E"/>
    <w:rsid w:val="00875A86"/>
    <w:rsid w:val="008801EB"/>
    <w:rsid w:val="00880247"/>
    <w:rsid w:val="00880F63"/>
    <w:rsid w:val="00881488"/>
    <w:rsid w:val="008838D1"/>
    <w:rsid w:val="00883C51"/>
    <w:rsid w:val="00884600"/>
    <w:rsid w:val="0088461D"/>
    <w:rsid w:val="008850E2"/>
    <w:rsid w:val="00887BE4"/>
    <w:rsid w:val="00887FF2"/>
    <w:rsid w:val="00891402"/>
    <w:rsid w:val="00892008"/>
    <w:rsid w:val="0089629A"/>
    <w:rsid w:val="008964C9"/>
    <w:rsid w:val="00897C0A"/>
    <w:rsid w:val="008A1799"/>
    <w:rsid w:val="008A17F1"/>
    <w:rsid w:val="008A392C"/>
    <w:rsid w:val="008A58C5"/>
    <w:rsid w:val="008B10FD"/>
    <w:rsid w:val="008B1EE1"/>
    <w:rsid w:val="008B2DDB"/>
    <w:rsid w:val="008B32C7"/>
    <w:rsid w:val="008B4458"/>
    <w:rsid w:val="008B4465"/>
    <w:rsid w:val="008B4942"/>
    <w:rsid w:val="008B4DD6"/>
    <w:rsid w:val="008B5645"/>
    <w:rsid w:val="008B6967"/>
    <w:rsid w:val="008C0430"/>
    <w:rsid w:val="008C069F"/>
    <w:rsid w:val="008C167E"/>
    <w:rsid w:val="008C2810"/>
    <w:rsid w:val="008C6345"/>
    <w:rsid w:val="008C6390"/>
    <w:rsid w:val="008C7C3F"/>
    <w:rsid w:val="008D0A5A"/>
    <w:rsid w:val="008D170A"/>
    <w:rsid w:val="008D27C4"/>
    <w:rsid w:val="008D6CBC"/>
    <w:rsid w:val="008D71A5"/>
    <w:rsid w:val="008E06AE"/>
    <w:rsid w:val="008E1847"/>
    <w:rsid w:val="008E5C1E"/>
    <w:rsid w:val="008E6136"/>
    <w:rsid w:val="008E7330"/>
    <w:rsid w:val="008E7C7F"/>
    <w:rsid w:val="008E7FEA"/>
    <w:rsid w:val="008F0F3E"/>
    <w:rsid w:val="008F2333"/>
    <w:rsid w:val="008F2B7A"/>
    <w:rsid w:val="008F6397"/>
    <w:rsid w:val="008F6B1B"/>
    <w:rsid w:val="008F7155"/>
    <w:rsid w:val="008F7176"/>
    <w:rsid w:val="008F7801"/>
    <w:rsid w:val="008F7B22"/>
    <w:rsid w:val="00904534"/>
    <w:rsid w:val="0090497A"/>
    <w:rsid w:val="009059E7"/>
    <w:rsid w:val="0090680F"/>
    <w:rsid w:val="0091175E"/>
    <w:rsid w:val="009145B6"/>
    <w:rsid w:val="009157A9"/>
    <w:rsid w:val="00916FCA"/>
    <w:rsid w:val="009175EB"/>
    <w:rsid w:val="00917D59"/>
    <w:rsid w:val="0092183E"/>
    <w:rsid w:val="00922662"/>
    <w:rsid w:val="00923163"/>
    <w:rsid w:val="00924AF7"/>
    <w:rsid w:val="00926C9E"/>
    <w:rsid w:val="00926E5C"/>
    <w:rsid w:val="00930E34"/>
    <w:rsid w:val="00931CB3"/>
    <w:rsid w:val="009320D0"/>
    <w:rsid w:val="0093391E"/>
    <w:rsid w:val="009340A3"/>
    <w:rsid w:val="009358C2"/>
    <w:rsid w:val="009361F1"/>
    <w:rsid w:val="00937D85"/>
    <w:rsid w:val="0094190F"/>
    <w:rsid w:val="00942272"/>
    <w:rsid w:val="00943ADF"/>
    <w:rsid w:val="00945ABB"/>
    <w:rsid w:val="00945BFE"/>
    <w:rsid w:val="009470C5"/>
    <w:rsid w:val="00950CC2"/>
    <w:rsid w:val="00951001"/>
    <w:rsid w:val="0095128D"/>
    <w:rsid w:val="0096099E"/>
    <w:rsid w:val="0096470E"/>
    <w:rsid w:val="00964BFC"/>
    <w:rsid w:val="00966131"/>
    <w:rsid w:val="00966E90"/>
    <w:rsid w:val="00970F7F"/>
    <w:rsid w:val="009727AB"/>
    <w:rsid w:val="009734FC"/>
    <w:rsid w:val="009736A4"/>
    <w:rsid w:val="00973B50"/>
    <w:rsid w:val="00973BD1"/>
    <w:rsid w:val="00974096"/>
    <w:rsid w:val="009756A5"/>
    <w:rsid w:val="009768CC"/>
    <w:rsid w:val="009772C7"/>
    <w:rsid w:val="00980780"/>
    <w:rsid w:val="00980E2D"/>
    <w:rsid w:val="0098108C"/>
    <w:rsid w:val="009838B4"/>
    <w:rsid w:val="009850E9"/>
    <w:rsid w:val="00985369"/>
    <w:rsid w:val="00985E62"/>
    <w:rsid w:val="00986152"/>
    <w:rsid w:val="00987841"/>
    <w:rsid w:val="00990349"/>
    <w:rsid w:val="009906E0"/>
    <w:rsid w:val="0099269A"/>
    <w:rsid w:val="00992734"/>
    <w:rsid w:val="00995000"/>
    <w:rsid w:val="00996BD6"/>
    <w:rsid w:val="009A0991"/>
    <w:rsid w:val="009A2B06"/>
    <w:rsid w:val="009A33E9"/>
    <w:rsid w:val="009A3BBD"/>
    <w:rsid w:val="009A50F7"/>
    <w:rsid w:val="009A5CFE"/>
    <w:rsid w:val="009A77B5"/>
    <w:rsid w:val="009A7B17"/>
    <w:rsid w:val="009B032C"/>
    <w:rsid w:val="009B3EDC"/>
    <w:rsid w:val="009B47F8"/>
    <w:rsid w:val="009B4CCA"/>
    <w:rsid w:val="009B53E4"/>
    <w:rsid w:val="009B65D6"/>
    <w:rsid w:val="009B73C3"/>
    <w:rsid w:val="009C05FF"/>
    <w:rsid w:val="009C0D1C"/>
    <w:rsid w:val="009C5302"/>
    <w:rsid w:val="009C59A9"/>
    <w:rsid w:val="009C5E59"/>
    <w:rsid w:val="009C5EBB"/>
    <w:rsid w:val="009C74EC"/>
    <w:rsid w:val="009D0104"/>
    <w:rsid w:val="009D0215"/>
    <w:rsid w:val="009D0500"/>
    <w:rsid w:val="009D29A1"/>
    <w:rsid w:val="009D5F87"/>
    <w:rsid w:val="009D6723"/>
    <w:rsid w:val="009D6733"/>
    <w:rsid w:val="009E0776"/>
    <w:rsid w:val="009E2032"/>
    <w:rsid w:val="009E3882"/>
    <w:rsid w:val="009E47BF"/>
    <w:rsid w:val="009E4916"/>
    <w:rsid w:val="009E4968"/>
    <w:rsid w:val="009F0105"/>
    <w:rsid w:val="009F1C81"/>
    <w:rsid w:val="009F2A9E"/>
    <w:rsid w:val="009F6416"/>
    <w:rsid w:val="00A009AA"/>
    <w:rsid w:val="00A00B52"/>
    <w:rsid w:val="00A02C2C"/>
    <w:rsid w:val="00A0341E"/>
    <w:rsid w:val="00A03EE7"/>
    <w:rsid w:val="00A049D5"/>
    <w:rsid w:val="00A05503"/>
    <w:rsid w:val="00A07B93"/>
    <w:rsid w:val="00A11ACD"/>
    <w:rsid w:val="00A11B96"/>
    <w:rsid w:val="00A12F7C"/>
    <w:rsid w:val="00A136A8"/>
    <w:rsid w:val="00A13DE3"/>
    <w:rsid w:val="00A16039"/>
    <w:rsid w:val="00A21C2F"/>
    <w:rsid w:val="00A2432C"/>
    <w:rsid w:val="00A2545F"/>
    <w:rsid w:val="00A26054"/>
    <w:rsid w:val="00A2771B"/>
    <w:rsid w:val="00A35720"/>
    <w:rsid w:val="00A3645A"/>
    <w:rsid w:val="00A41F06"/>
    <w:rsid w:val="00A42325"/>
    <w:rsid w:val="00A446CB"/>
    <w:rsid w:val="00A451F5"/>
    <w:rsid w:val="00A478A0"/>
    <w:rsid w:val="00A517A6"/>
    <w:rsid w:val="00A53BC1"/>
    <w:rsid w:val="00A54BE8"/>
    <w:rsid w:val="00A55857"/>
    <w:rsid w:val="00A57B47"/>
    <w:rsid w:val="00A60192"/>
    <w:rsid w:val="00A60672"/>
    <w:rsid w:val="00A60A43"/>
    <w:rsid w:val="00A61BDE"/>
    <w:rsid w:val="00A63F19"/>
    <w:rsid w:val="00A641D2"/>
    <w:rsid w:val="00A6467B"/>
    <w:rsid w:val="00A70549"/>
    <w:rsid w:val="00A72E21"/>
    <w:rsid w:val="00A745D8"/>
    <w:rsid w:val="00A74667"/>
    <w:rsid w:val="00A75BC6"/>
    <w:rsid w:val="00A75D40"/>
    <w:rsid w:val="00A77BC8"/>
    <w:rsid w:val="00A77C04"/>
    <w:rsid w:val="00A77CDD"/>
    <w:rsid w:val="00A80553"/>
    <w:rsid w:val="00A8097E"/>
    <w:rsid w:val="00A8379D"/>
    <w:rsid w:val="00A86C88"/>
    <w:rsid w:val="00A86EEF"/>
    <w:rsid w:val="00A91915"/>
    <w:rsid w:val="00A91CA5"/>
    <w:rsid w:val="00A929E6"/>
    <w:rsid w:val="00A93321"/>
    <w:rsid w:val="00A93C13"/>
    <w:rsid w:val="00A965FE"/>
    <w:rsid w:val="00A9776B"/>
    <w:rsid w:val="00A97D1F"/>
    <w:rsid w:val="00AA14DA"/>
    <w:rsid w:val="00AA2E0A"/>
    <w:rsid w:val="00AA2FB9"/>
    <w:rsid w:val="00AA61BB"/>
    <w:rsid w:val="00AA64F9"/>
    <w:rsid w:val="00AA6D9B"/>
    <w:rsid w:val="00AB0530"/>
    <w:rsid w:val="00AB0632"/>
    <w:rsid w:val="00AB1384"/>
    <w:rsid w:val="00AB4D1D"/>
    <w:rsid w:val="00AB569D"/>
    <w:rsid w:val="00AB6895"/>
    <w:rsid w:val="00AC03A3"/>
    <w:rsid w:val="00AC3A7E"/>
    <w:rsid w:val="00AC4C4B"/>
    <w:rsid w:val="00AC4E9A"/>
    <w:rsid w:val="00AC5359"/>
    <w:rsid w:val="00AC54CA"/>
    <w:rsid w:val="00AC5DAC"/>
    <w:rsid w:val="00AC6EEA"/>
    <w:rsid w:val="00AC7135"/>
    <w:rsid w:val="00AD0041"/>
    <w:rsid w:val="00AD1596"/>
    <w:rsid w:val="00AD205F"/>
    <w:rsid w:val="00AD2A7B"/>
    <w:rsid w:val="00AD2C82"/>
    <w:rsid w:val="00AD4AE3"/>
    <w:rsid w:val="00AD4ED8"/>
    <w:rsid w:val="00AD4FF2"/>
    <w:rsid w:val="00AD5F5F"/>
    <w:rsid w:val="00AD64DD"/>
    <w:rsid w:val="00AD6CEC"/>
    <w:rsid w:val="00AD774B"/>
    <w:rsid w:val="00AD7FC0"/>
    <w:rsid w:val="00AE0F85"/>
    <w:rsid w:val="00AE32A0"/>
    <w:rsid w:val="00AE42B2"/>
    <w:rsid w:val="00AE485C"/>
    <w:rsid w:val="00AE50BD"/>
    <w:rsid w:val="00AE524B"/>
    <w:rsid w:val="00AF1082"/>
    <w:rsid w:val="00AF2189"/>
    <w:rsid w:val="00AF2419"/>
    <w:rsid w:val="00AF2922"/>
    <w:rsid w:val="00AF3888"/>
    <w:rsid w:val="00AF3AD4"/>
    <w:rsid w:val="00AF4029"/>
    <w:rsid w:val="00AF52C1"/>
    <w:rsid w:val="00AF6095"/>
    <w:rsid w:val="00AF6111"/>
    <w:rsid w:val="00AF7092"/>
    <w:rsid w:val="00B007B8"/>
    <w:rsid w:val="00B019B1"/>
    <w:rsid w:val="00B01F21"/>
    <w:rsid w:val="00B02076"/>
    <w:rsid w:val="00B04F02"/>
    <w:rsid w:val="00B06F9D"/>
    <w:rsid w:val="00B132CD"/>
    <w:rsid w:val="00B1374B"/>
    <w:rsid w:val="00B1513B"/>
    <w:rsid w:val="00B15C10"/>
    <w:rsid w:val="00B16016"/>
    <w:rsid w:val="00B171C4"/>
    <w:rsid w:val="00B21755"/>
    <w:rsid w:val="00B22BE0"/>
    <w:rsid w:val="00B239C6"/>
    <w:rsid w:val="00B243D9"/>
    <w:rsid w:val="00B2688F"/>
    <w:rsid w:val="00B274C5"/>
    <w:rsid w:val="00B302DD"/>
    <w:rsid w:val="00B317F7"/>
    <w:rsid w:val="00B32B9F"/>
    <w:rsid w:val="00B336D5"/>
    <w:rsid w:val="00B34782"/>
    <w:rsid w:val="00B35048"/>
    <w:rsid w:val="00B36745"/>
    <w:rsid w:val="00B44BB5"/>
    <w:rsid w:val="00B45036"/>
    <w:rsid w:val="00B45785"/>
    <w:rsid w:val="00B52496"/>
    <w:rsid w:val="00B52D92"/>
    <w:rsid w:val="00B53AC6"/>
    <w:rsid w:val="00B54F80"/>
    <w:rsid w:val="00B56DAA"/>
    <w:rsid w:val="00B60E87"/>
    <w:rsid w:val="00B611BB"/>
    <w:rsid w:val="00B61412"/>
    <w:rsid w:val="00B647CB"/>
    <w:rsid w:val="00B6496D"/>
    <w:rsid w:val="00B65E82"/>
    <w:rsid w:val="00B70BFF"/>
    <w:rsid w:val="00B71917"/>
    <w:rsid w:val="00B75FE9"/>
    <w:rsid w:val="00B764DB"/>
    <w:rsid w:val="00B775EC"/>
    <w:rsid w:val="00B80011"/>
    <w:rsid w:val="00B803C0"/>
    <w:rsid w:val="00B80F49"/>
    <w:rsid w:val="00B8242B"/>
    <w:rsid w:val="00B857E5"/>
    <w:rsid w:val="00B8697A"/>
    <w:rsid w:val="00B8737F"/>
    <w:rsid w:val="00B87A5B"/>
    <w:rsid w:val="00B901EE"/>
    <w:rsid w:val="00B905FD"/>
    <w:rsid w:val="00B9101C"/>
    <w:rsid w:val="00B912EA"/>
    <w:rsid w:val="00B92AB7"/>
    <w:rsid w:val="00B93683"/>
    <w:rsid w:val="00B9536E"/>
    <w:rsid w:val="00B95977"/>
    <w:rsid w:val="00BA092D"/>
    <w:rsid w:val="00BA2F22"/>
    <w:rsid w:val="00BA3663"/>
    <w:rsid w:val="00BA527B"/>
    <w:rsid w:val="00BA58AF"/>
    <w:rsid w:val="00BB1CC1"/>
    <w:rsid w:val="00BB3FF8"/>
    <w:rsid w:val="00BB5FF5"/>
    <w:rsid w:val="00BB6BD6"/>
    <w:rsid w:val="00BC1691"/>
    <w:rsid w:val="00BC2006"/>
    <w:rsid w:val="00BC22DF"/>
    <w:rsid w:val="00BC3FFF"/>
    <w:rsid w:val="00BC4392"/>
    <w:rsid w:val="00BC7FC0"/>
    <w:rsid w:val="00BD0106"/>
    <w:rsid w:val="00BD0C99"/>
    <w:rsid w:val="00BD35B5"/>
    <w:rsid w:val="00BD3F24"/>
    <w:rsid w:val="00BD49F7"/>
    <w:rsid w:val="00BD4A9A"/>
    <w:rsid w:val="00BD5DBE"/>
    <w:rsid w:val="00BD7871"/>
    <w:rsid w:val="00BE2181"/>
    <w:rsid w:val="00BE27D0"/>
    <w:rsid w:val="00BE2CA7"/>
    <w:rsid w:val="00BE453E"/>
    <w:rsid w:val="00BE71AC"/>
    <w:rsid w:val="00BE729D"/>
    <w:rsid w:val="00BF217F"/>
    <w:rsid w:val="00BF2873"/>
    <w:rsid w:val="00BF2C53"/>
    <w:rsid w:val="00BF2EA3"/>
    <w:rsid w:val="00BF2F55"/>
    <w:rsid w:val="00BF5D7D"/>
    <w:rsid w:val="00BF6792"/>
    <w:rsid w:val="00C00997"/>
    <w:rsid w:val="00C00B90"/>
    <w:rsid w:val="00C013D5"/>
    <w:rsid w:val="00C02262"/>
    <w:rsid w:val="00C02726"/>
    <w:rsid w:val="00C034DE"/>
    <w:rsid w:val="00C06EA1"/>
    <w:rsid w:val="00C072CE"/>
    <w:rsid w:val="00C0771F"/>
    <w:rsid w:val="00C07783"/>
    <w:rsid w:val="00C119DA"/>
    <w:rsid w:val="00C1307D"/>
    <w:rsid w:val="00C1473D"/>
    <w:rsid w:val="00C15ACD"/>
    <w:rsid w:val="00C15BB0"/>
    <w:rsid w:val="00C21DC3"/>
    <w:rsid w:val="00C2357E"/>
    <w:rsid w:val="00C23B31"/>
    <w:rsid w:val="00C2698C"/>
    <w:rsid w:val="00C317A0"/>
    <w:rsid w:val="00C34CC6"/>
    <w:rsid w:val="00C36835"/>
    <w:rsid w:val="00C37121"/>
    <w:rsid w:val="00C3718F"/>
    <w:rsid w:val="00C37855"/>
    <w:rsid w:val="00C40667"/>
    <w:rsid w:val="00C41424"/>
    <w:rsid w:val="00C414D2"/>
    <w:rsid w:val="00C4175C"/>
    <w:rsid w:val="00C42001"/>
    <w:rsid w:val="00C44958"/>
    <w:rsid w:val="00C46373"/>
    <w:rsid w:val="00C46A2E"/>
    <w:rsid w:val="00C46A9A"/>
    <w:rsid w:val="00C46D06"/>
    <w:rsid w:val="00C5006B"/>
    <w:rsid w:val="00C50938"/>
    <w:rsid w:val="00C512DA"/>
    <w:rsid w:val="00C530ED"/>
    <w:rsid w:val="00C563ED"/>
    <w:rsid w:val="00C6088A"/>
    <w:rsid w:val="00C628C0"/>
    <w:rsid w:val="00C66281"/>
    <w:rsid w:val="00C67BB1"/>
    <w:rsid w:val="00C701D5"/>
    <w:rsid w:val="00C702F0"/>
    <w:rsid w:val="00C70BEE"/>
    <w:rsid w:val="00C73938"/>
    <w:rsid w:val="00C7534B"/>
    <w:rsid w:val="00C763E3"/>
    <w:rsid w:val="00C80195"/>
    <w:rsid w:val="00C803A5"/>
    <w:rsid w:val="00C81BB0"/>
    <w:rsid w:val="00C83449"/>
    <w:rsid w:val="00C86BF4"/>
    <w:rsid w:val="00C87293"/>
    <w:rsid w:val="00C901E5"/>
    <w:rsid w:val="00C90800"/>
    <w:rsid w:val="00C90AD4"/>
    <w:rsid w:val="00C9104E"/>
    <w:rsid w:val="00C923E2"/>
    <w:rsid w:val="00C93F7F"/>
    <w:rsid w:val="00C9568B"/>
    <w:rsid w:val="00C961AE"/>
    <w:rsid w:val="00C96680"/>
    <w:rsid w:val="00C96726"/>
    <w:rsid w:val="00CA1A56"/>
    <w:rsid w:val="00CA2C80"/>
    <w:rsid w:val="00CA2C9F"/>
    <w:rsid w:val="00CA2D1E"/>
    <w:rsid w:val="00CA5994"/>
    <w:rsid w:val="00CA6BFA"/>
    <w:rsid w:val="00CA75EF"/>
    <w:rsid w:val="00CB2968"/>
    <w:rsid w:val="00CB2A0A"/>
    <w:rsid w:val="00CB2DF7"/>
    <w:rsid w:val="00CB398A"/>
    <w:rsid w:val="00CB4727"/>
    <w:rsid w:val="00CB705B"/>
    <w:rsid w:val="00CC026B"/>
    <w:rsid w:val="00CC17E7"/>
    <w:rsid w:val="00CC1BEE"/>
    <w:rsid w:val="00CC489E"/>
    <w:rsid w:val="00CC4C39"/>
    <w:rsid w:val="00CC5DBB"/>
    <w:rsid w:val="00CC742B"/>
    <w:rsid w:val="00CC7B4B"/>
    <w:rsid w:val="00CC7FF5"/>
    <w:rsid w:val="00CD2E32"/>
    <w:rsid w:val="00CD35EC"/>
    <w:rsid w:val="00CD56EA"/>
    <w:rsid w:val="00CD5863"/>
    <w:rsid w:val="00CD7297"/>
    <w:rsid w:val="00CE08FE"/>
    <w:rsid w:val="00CE1B0C"/>
    <w:rsid w:val="00CE1D94"/>
    <w:rsid w:val="00CE3D5B"/>
    <w:rsid w:val="00CE3F69"/>
    <w:rsid w:val="00CE70EE"/>
    <w:rsid w:val="00CF23C2"/>
    <w:rsid w:val="00CF31EE"/>
    <w:rsid w:val="00CF4B4D"/>
    <w:rsid w:val="00CF666B"/>
    <w:rsid w:val="00D03463"/>
    <w:rsid w:val="00D041F0"/>
    <w:rsid w:val="00D04260"/>
    <w:rsid w:val="00D06110"/>
    <w:rsid w:val="00D06502"/>
    <w:rsid w:val="00D1027D"/>
    <w:rsid w:val="00D10842"/>
    <w:rsid w:val="00D119B8"/>
    <w:rsid w:val="00D11FAC"/>
    <w:rsid w:val="00D125DE"/>
    <w:rsid w:val="00D12E9B"/>
    <w:rsid w:val="00D1606C"/>
    <w:rsid w:val="00D209DD"/>
    <w:rsid w:val="00D21359"/>
    <w:rsid w:val="00D260B3"/>
    <w:rsid w:val="00D26376"/>
    <w:rsid w:val="00D265CA"/>
    <w:rsid w:val="00D279BB"/>
    <w:rsid w:val="00D319B4"/>
    <w:rsid w:val="00D32E97"/>
    <w:rsid w:val="00D3399D"/>
    <w:rsid w:val="00D36568"/>
    <w:rsid w:val="00D440A9"/>
    <w:rsid w:val="00D45F99"/>
    <w:rsid w:val="00D472E2"/>
    <w:rsid w:val="00D505D5"/>
    <w:rsid w:val="00D5750D"/>
    <w:rsid w:val="00D60BD9"/>
    <w:rsid w:val="00D623A3"/>
    <w:rsid w:val="00D63C14"/>
    <w:rsid w:val="00D65BB9"/>
    <w:rsid w:val="00D66008"/>
    <w:rsid w:val="00D66186"/>
    <w:rsid w:val="00D67848"/>
    <w:rsid w:val="00D70ADB"/>
    <w:rsid w:val="00D726B8"/>
    <w:rsid w:val="00D72D75"/>
    <w:rsid w:val="00D73101"/>
    <w:rsid w:val="00D75026"/>
    <w:rsid w:val="00D762E4"/>
    <w:rsid w:val="00D76A1B"/>
    <w:rsid w:val="00D8096A"/>
    <w:rsid w:val="00D81EC8"/>
    <w:rsid w:val="00D847E4"/>
    <w:rsid w:val="00D85E51"/>
    <w:rsid w:val="00D85E94"/>
    <w:rsid w:val="00D8658B"/>
    <w:rsid w:val="00D92239"/>
    <w:rsid w:val="00D94398"/>
    <w:rsid w:val="00D96C5C"/>
    <w:rsid w:val="00D972BE"/>
    <w:rsid w:val="00DA156A"/>
    <w:rsid w:val="00DA1904"/>
    <w:rsid w:val="00DA3448"/>
    <w:rsid w:val="00DA3AEE"/>
    <w:rsid w:val="00DA4945"/>
    <w:rsid w:val="00DA5ED7"/>
    <w:rsid w:val="00DA7AA7"/>
    <w:rsid w:val="00DB3922"/>
    <w:rsid w:val="00DB50B4"/>
    <w:rsid w:val="00DB5479"/>
    <w:rsid w:val="00DB6BFF"/>
    <w:rsid w:val="00DB6D42"/>
    <w:rsid w:val="00DC25F3"/>
    <w:rsid w:val="00DC3588"/>
    <w:rsid w:val="00DC3998"/>
    <w:rsid w:val="00DC523B"/>
    <w:rsid w:val="00DC64AC"/>
    <w:rsid w:val="00DD0D00"/>
    <w:rsid w:val="00DD29FD"/>
    <w:rsid w:val="00DD2D26"/>
    <w:rsid w:val="00DD5372"/>
    <w:rsid w:val="00DD6701"/>
    <w:rsid w:val="00DD6FAC"/>
    <w:rsid w:val="00DE03C0"/>
    <w:rsid w:val="00DE2463"/>
    <w:rsid w:val="00DE2B3E"/>
    <w:rsid w:val="00DE34AA"/>
    <w:rsid w:val="00DE3DD5"/>
    <w:rsid w:val="00DE426F"/>
    <w:rsid w:val="00DE521A"/>
    <w:rsid w:val="00DF1492"/>
    <w:rsid w:val="00DF20C1"/>
    <w:rsid w:val="00DF31B0"/>
    <w:rsid w:val="00E02A45"/>
    <w:rsid w:val="00E031F7"/>
    <w:rsid w:val="00E04BB0"/>
    <w:rsid w:val="00E064EF"/>
    <w:rsid w:val="00E10AD9"/>
    <w:rsid w:val="00E1179B"/>
    <w:rsid w:val="00E11FFD"/>
    <w:rsid w:val="00E12354"/>
    <w:rsid w:val="00E1317D"/>
    <w:rsid w:val="00E13D09"/>
    <w:rsid w:val="00E159F2"/>
    <w:rsid w:val="00E176B8"/>
    <w:rsid w:val="00E20947"/>
    <w:rsid w:val="00E215BA"/>
    <w:rsid w:val="00E22947"/>
    <w:rsid w:val="00E2436E"/>
    <w:rsid w:val="00E24DE8"/>
    <w:rsid w:val="00E26116"/>
    <w:rsid w:val="00E308E7"/>
    <w:rsid w:val="00E331DB"/>
    <w:rsid w:val="00E33B79"/>
    <w:rsid w:val="00E3505B"/>
    <w:rsid w:val="00E357ED"/>
    <w:rsid w:val="00E37EAB"/>
    <w:rsid w:val="00E41460"/>
    <w:rsid w:val="00E42C58"/>
    <w:rsid w:val="00E4528F"/>
    <w:rsid w:val="00E45E19"/>
    <w:rsid w:val="00E4641D"/>
    <w:rsid w:val="00E533B6"/>
    <w:rsid w:val="00E60FCE"/>
    <w:rsid w:val="00E60FE9"/>
    <w:rsid w:val="00E61A34"/>
    <w:rsid w:val="00E62114"/>
    <w:rsid w:val="00E659BE"/>
    <w:rsid w:val="00E6635B"/>
    <w:rsid w:val="00E6703A"/>
    <w:rsid w:val="00E6749E"/>
    <w:rsid w:val="00E70362"/>
    <w:rsid w:val="00E72E10"/>
    <w:rsid w:val="00E74A32"/>
    <w:rsid w:val="00E75189"/>
    <w:rsid w:val="00E75D4E"/>
    <w:rsid w:val="00E77B5E"/>
    <w:rsid w:val="00E80CB4"/>
    <w:rsid w:val="00E81560"/>
    <w:rsid w:val="00E82D62"/>
    <w:rsid w:val="00E84EDE"/>
    <w:rsid w:val="00E91F99"/>
    <w:rsid w:val="00E939A5"/>
    <w:rsid w:val="00E943FC"/>
    <w:rsid w:val="00E94AAB"/>
    <w:rsid w:val="00E95939"/>
    <w:rsid w:val="00EA1071"/>
    <w:rsid w:val="00EA1708"/>
    <w:rsid w:val="00EA49D3"/>
    <w:rsid w:val="00EA5E00"/>
    <w:rsid w:val="00EB0697"/>
    <w:rsid w:val="00EB256D"/>
    <w:rsid w:val="00EB6E5B"/>
    <w:rsid w:val="00EC0A1E"/>
    <w:rsid w:val="00EC1339"/>
    <w:rsid w:val="00EC1B52"/>
    <w:rsid w:val="00EC20E5"/>
    <w:rsid w:val="00EC2FBC"/>
    <w:rsid w:val="00EC4731"/>
    <w:rsid w:val="00ED0F08"/>
    <w:rsid w:val="00ED33C3"/>
    <w:rsid w:val="00EE175A"/>
    <w:rsid w:val="00EE1EFC"/>
    <w:rsid w:val="00EE32B5"/>
    <w:rsid w:val="00EE36A7"/>
    <w:rsid w:val="00EE3770"/>
    <w:rsid w:val="00EE44E6"/>
    <w:rsid w:val="00EE4AAF"/>
    <w:rsid w:val="00EE72F3"/>
    <w:rsid w:val="00EE7860"/>
    <w:rsid w:val="00EE7A80"/>
    <w:rsid w:val="00EE7A83"/>
    <w:rsid w:val="00EE7BE7"/>
    <w:rsid w:val="00EF07FB"/>
    <w:rsid w:val="00EF1E01"/>
    <w:rsid w:val="00EF50B4"/>
    <w:rsid w:val="00EF57B3"/>
    <w:rsid w:val="00EF5E9C"/>
    <w:rsid w:val="00EF6872"/>
    <w:rsid w:val="00F00604"/>
    <w:rsid w:val="00F01988"/>
    <w:rsid w:val="00F02BC9"/>
    <w:rsid w:val="00F02C9F"/>
    <w:rsid w:val="00F030EE"/>
    <w:rsid w:val="00F03EFC"/>
    <w:rsid w:val="00F04FBF"/>
    <w:rsid w:val="00F056CA"/>
    <w:rsid w:val="00F0736E"/>
    <w:rsid w:val="00F07F14"/>
    <w:rsid w:val="00F10089"/>
    <w:rsid w:val="00F11249"/>
    <w:rsid w:val="00F14C1B"/>
    <w:rsid w:val="00F14C51"/>
    <w:rsid w:val="00F17C7E"/>
    <w:rsid w:val="00F22547"/>
    <w:rsid w:val="00F22981"/>
    <w:rsid w:val="00F26A4C"/>
    <w:rsid w:val="00F2721A"/>
    <w:rsid w:val="00F278EF"/>
    <w:rsid w:val="00F302A8"/>
    <w:rsid w:val="00F31967"/>
    <w:rsid w:val="00F32A4C"/>
    <w:rsid w:val="00F333EB"/>
    <w:rsid w:val="00F33F41"/>
    <w:rsid w:val="00F33FBC"/>
    <w:rsid w:val="00F35274"/>
    <w:rsid w:val="00F428C3"/>
    <w:rsid w:val="00F45069"/>
    <w:rsid w:val="00F466B3"/>
    <w:rsid w:val="00F5049F"/>
    <w:rsid w:val="00F50916"/>
    <w:rsid w:val="00F50F60"/>
    <w:rsid w:val="00F5278D"/>
    <w:rsid w:val="00F55AE6"/>
    <w:rsid w:val="00F6353E"/>
    <w:rsid w:val="00F63B6F"/>
    <w:rsid w:val="00F64EFF"/>
    <w:rsid w:val="00F65A04"/>
    <w:rsid w:val="00F66536"/>
    <w:rsid w:val="00F66DAB"/>
    <w:rsid w:val="00F7536A"/>
    <w:rsid w:val="00F759B0"/>
    <w:rsid w:val="00F76D20"/>
    <w:rsid w:val="00F81111"/>
    <w:rsid w:val="00F83271"/>
    <w:rsid w:val="00F83F86"/>
    <w:rsid w:val="00F8510F"/>
    <w:rsid w:val="00F90C9A"/>
    <w:rsid w:val="00F91112"/>
    <w:rsid w:val="00F921CA"/>
    <w:rsid w:val="00F92B37"/>
    <w:rsid w:val="00F94932"/>
    <w:rsid w:val="00F95D22"/>
    <w:rsid w:val="00F96C82"/>
    <w:rsid w:val="00FA0E86"/>
    <w:rsid w:val="00FA59ED"/>
    <w:rsid w:val="00FA5E5A"/>
    <w:rsid w:val="00FA6AB2"/>
    <w:rsid w:val="00FB1253"/>
    <w:rsid w:val="00FB196D"/>
    <w:rsid w:val="00FB2900"/>
    <w:rsid w:val="00FB577A"/>
    <w:rsid w:val="00FB5824"/>
    <w:rsid w:val="00FB6788"/>
    <w:rsid w:val="00FB79B6"/>
    <w:rsid w:val="00FC098D"/>
    <w:rsid w:val="00FC6619"/>
    <w:rsid w:val="00FC6D82"/>
    <w:rsid w:val="00FD0ED0"/>
    <w:rsid w:val="00FD1BD9"/>
    <w:rsid w:val="00FD2585"/>
    <w:rsid w:val="00FD2A38"/>
    <w:rsid w:val="00FD3B1D"/>
    <w:rsid w:val="00FD4186"/>
    <w:rsid w:val="00FD452F"/>
    <w:rsid w:val="00FD468F"/>
    <w:rsid w:val="00FD4795"/>
    <w:rsid w:val="00FD50EE"/>
    <w:rsid w:val="00FD6923"/>
    <w:rsid w:val="00FD6D1D"/>
    <w:rsid w:val="00FE0C24"/>
    <w:rsid w:val="00FE1DD9"/>
    <w:rsid w:val="00FE3F12"/>
    <w:rsid w:val="00FE4CCE"/>
    <w:rsid w:val="00FE663C"/>
    <w:rsid w:val="00FE755D"/>
    <w:rsid w:val="00FF24AF"/>
    <w:rsid w:val="00FF390E"/>
    <w:rsid w:val="00FF3CC4"/>
    <w:rsid w:val="00FF7A41"/>
  </w:rsids>
  <m:mathPr>
    <m:mathFont m:val="Cambria Math"/>
    <m:brkBin m:val="before"/>
    <m:brkBinSub m:val="--"/>
    <m:smallFrac/>
    <m:dispDe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0826F9B"/>
  <w15:chartTrackingRefBased/>
  <w15:docId w15:val="{DC1802D3-5073-4AA2-8F59-999653DD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2A397E"/>
    <w:pPr>
      <w:spacing w:after="200"/>
    </w:pPr>
    <w:rPr>
      <w:rFonts w:ascii="Arial" w:hAnsi="Arial"/>
      <w:sz w:val="22"/>
      <w:szCs w:val="24"/>
      <w:lang w:val="en-GB" w:eastAsia="ja-JP"/>
    </w:rPr>
  </w:style>
  <w:style w:type="paragraph" w:styleId="Heading1">
    <w:name w:val="heading 1"/>
    <w:basedOn w:val="Normal"/>
    <w:link w:val="Heading1Char"/>
    <w:uiPriority w:val="9"/>
    <w:qFormat/>
    <w:rsid w:val="006C765C"/>
    <w:pPr>
      <w:spacing w:before="100" w:beforeAutospacing="1" w:after="100" w:afterAutospacing="1"/>
      <w:outlineLvl w:val="0"/>
    </w:pPr>
    <w:rPr>
      <w:rFonts w:ascii="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2B9F"/>
    <w:rPr>
      <w:color w:val="0000FF"/>
      <w:u w:val="single"/>
    </w:rPr>
  </w:style>
  <w:style w:type="table" w:styleId="TableGrid">
    <w:name w:val="Table Grid"/>
    <w:basedOn w:val="TableNormal"/>
    <w:uiPriority w:val="59"/>
    <w:rsid w:val="00B32B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32B9F"/>
    <w:pPr>
      <w:ind w:left="720"/>
      <w:contextualSpacing/>
    </w:pPr>
    <w:rPr>
      <w:rFonts w:eastAsia="Cambria"/>
      <w:lang w:eastAsia="en-US"/>
    </w:rPr>
  </w:style>
  <w:style w:type="paragraph" w:styleId="NormalWeb">
    <w:name w:val="Normal (Web)"/>
    <w:basedOn w:val="Normal"/>
    <w:uiPriority w:val="99"/>
    <w:unhideWhenUsed/>
    <w:rsid w:val="00B32B9F"/>
    <w:pPr>
      <w:spacing w:before="100" w:beforeAutospacing="1" w:after="100" w:afterAutospacing="1"/>
    </w:pPr>
    <w:rPr>
      <w:rFonts w:ascii="Times" w:eastAsia="Cambria" w:hAnsi="Times"/>
      <w:sz w:val="20"/>
      <w:szCs w:val="20"/>
      <w:lang w:eastAsia="en-US"/>
    </w:rPr>
  </w:style>
  <w:style w:type="character" w:styleId="CommentReference">
    <w:name w:val="annotation reference"/>
    <w:rsid w:val="00B32B9F"/>
    <w:rPr>
      <w:sz w:val="18"/>
      <w:szCs w:val="18"/>
    </w:rPr>
  </w:style>
  <w:style w:type="paragraph" w:styleId="CommentText">
    <w:name w:val="annotation text"/>
    <w:basedOn w:val="Normal"/>
    <w:link w:val="CommentTextChar"/>
    <w:rsid w:val="00B32B9F"/>
    <w:rPr>
      <w:rFonts w:eastAsia="Cambria"/>
      <w:sz w:val="20"/>
      <w:szCs w:val="20"/>
      <w:lang w:val="x-none" w:eastAsia="en-US"/>
    </w:rPr>
  </w:style>
  <w:style w:type="character" w:customStyle="1" w:styleId="CommentTextChar">
    <w:name w:val="Comment Text Char"/>
    <w:link w:val="CommentText"/>
    <w:rsid w:val="00B32B9F"/>
    <w:rPr>
      <w:rFonts w:ascii="Arial" w:eastAsia="Cambria" w:hAnsi="Arial" w:cs="Times New Roman"/>
      <w:lang w:eastAsia="en-US"/>
    </w:rPr>
  </w:style>
  <w:style w:type="paragraph" w:styleId="CommentSubject">
    <w:name w:val="annotation subject"/>
    <w:basedOn w:val="CommentText"/>
    <w:next w:val="CommentText"/>
    <w:link w:val="CommentSubjectChar"/>
    <w:rsid w:val="00B32B9F"/>
    <w:rPr>
      <w:b/>
      <w:bCs/>
    </w:rPr>
  </w:style>
  <w:style w:type="character" w:customStyle="1" w:styleId="CommentSubjectChar">
    <w:name w:val="Comment Subject Char"/>
    <w:link w:val="CommentSubject"/>
    <w:rsid w:val="00B32B9F"/>
    <w:rPr>
      <w:rFonts w:ascii="Arial" w:eastAsia="Cambria" w:hAnsi="Arial" w:cs="Times New Roman"/>
      <w:b/>
      <w:bCs/>
      <w:sz w:val="20"/>
      <w:szCs w:val="20"/>
      <w:lang w:eastAsia="en-US"/>
    </w:rPr>
  </w:style>
  <w:style w:type="paragraph" w:styleId="BalloonText">
    <w:name w:val="Balloon Text"/>
    <w:basedOn w:val="Normal"/>
    <w:link w:val="BalloonTextChar"/>
    <w:rsid w:val="00B32B9F"/>
    <w:pPr>
      <w:spacing w:after="0"/>
    </w:pPr>
    <w:rPr>
      <w:rFonts w:ascii="Lucida Grande" w:eastAsia="Cambria" w:hAnsi="Lucida Grande"/>
      <w:sz w:val="18"/>
      <w:szCs w:val="18"/>
      <w:lang w:val="x-none" w:eastAsia="en-US"/>
    </w:rPr>
  </w:style>
  <w:style w:type="character" w:customStyle="1" w:styleId="BalloonTextChar">
    <w:name w:val="Balloon Text Char"/>
    <w:link w:val="BalloonText"/>
    <w:rsid w:val="00B32B9F"/>
    <w:rPr>
      <w:rFonts w:ascii="Lucida Grande" w:eastAsia="Cambria" w:hAnsi="Lucida Grande" w:cs="Lucida Grande"/>
      <w:sz w:val="18"/>
      <w:szCs w:val="18"/>
      <w:lang w:eastAsia="en-US"/>
    </w:rPr>
  </w:style>
  <w:style w:type="paragraph" w:styleId="Header">
    <w:name w:val="header"/>
    <w:basedOn w:val="Normal"/>
    <w:link w:val="HeaderChar"/>
    <w:rsid w:val="00B32B9F"/>
    <w:pPr>
      <w:tabs>
        <w:tab w:val="center" w:pos="4320"/>
        <w:tab w:val="right" w:pos="8640"/>
      </w:tabs>
    </w:pPr>
    <w:rPr>
      <w:rFonts w:eastAsia="Cambria"/>
      <w:szCs w:val="20"/>
      <w:lang w:val="x-none" w:eastAsia="en-US"/>
    </w:rPr>
  </w:style>
  <w:style w:type="character" w:customStyle="1" w:styleId="HeaderChar">
    <w:name w:val="Header Char"/>
    <w:link w:val="Header"/>
    <w:rsid w:val="00B32B9F"/>
    <w:rPr>
      <w:rFonts w:ascii="Arial" w:eastAsia="Cambria" w:hAnsi="Arial" w:cs="Times New Roman"/>
      <w:sz w:val="22"/>
      <w:lang w:eastAsia="en-US"/>
    </w:rPr>
  </w:style>
  <w:style w:type="paragraph" w:styleId="Footer">
    <w:name w:val="footer"/>
    <w:basedOn w:val="Normal"/>
    <w:link w:val="FooterChar"/>
    <w:rsid w:val="00B32B9F"/>
    <w:pPr>
      <w:tabs>
        <w:tab w:val="center" w:pos="4320"/>
        <w:tab w:val="right" w:pos="8640"/>
      </w:tabs>
    </w:pPr>
    <w:rPr>
      <w:rFonts w:eastAsia="Cambria"/>
      <w:szCs w:val="20"/>
      <w:lang w:val="x-none" w:eastAsia="en-US"/>
    </w:rPr>
  </w:style>
  <w:style w:type="character" w:customStyle="1" w:styleId="FooterChar">
    <w:name w:val="Footer Char"/>
    <w:link w:val="Footer"/>
    <w:rsid w:val="00B32B9F"/>
    <w:rPr>
      <w:rFonts w:ascii="Arial" w:eastAsia="Cambria" w:hAnsi="Arial" w:cs="Times New Roman"/>
      <w:sz w:val="22"/>
      <w:lang w:eastAsia="en-US"/>
    </w:rPr>
  </w:style>
  <w:style w:type="character" w:styleId="PageNumber">
    <w:name w:val="page number"/>
    <w:basedOn w:val="DefaultParagraphFont"/>
    <w:uiPriority w:val="99"/>
    <w:semiHidden/>
    <w:unhideWhenUsed/>
    <w:rsid w:val="00C73938"/>
  </w:style>
  <w:style w:type="paragraph" w:customStyle="1" w:styleId="ColorfulShading-Accent11">
    <w:name w:val="Colorful Shading - Accent 11"/>
    <w:hidden/>
    <w:uiPriority w:val="99"/>
    <w:semiHidden/>
    <w:rsid w:val="00F03EFC"/>
    <w:rPr>
      <w:rFonts w:ascii="Arial" w:hAnsi="Arial"/>
      <w:sz w:val="22"/>
      <w:szCs w:val="24"/>
      <w:lang w:val="en-GB" w:eastAsia="ja-JP"/>
    </w:rPr>
  </w:style>
  <w:style w:type="paragraph" w:customStyle="1" w:styleId="Title1">
    <w:name w:val="Title1"/>
    <w:basedOn w:val="Normal"/>
    <w:rsid w:val="00242266"/>
    <w:pPr>
      <w:spacing w:before="100" w:beforeAutospacing="1" w:after="100" w:afterAutospacing="1"/>
    </w:pPr>
    <w:rPr>
      <w:rFonts w:ascii="Times New Roman" w:hAnsi="Times New Roman"/>
      <w:sz w:val="24"/>
      <w:lang w:val="es-ES" w:eastAsia="es-ES"/>
    </w:rPr>
  </w:style>
  <w:style w:type="paragraph" w:customStyle="1" w:styleId="desc">
    <w:name w:val="desc"/>
    <w:basedOn w:val="Normal"/>
    <w:rsid w:val="00242266"/>
    <w:pPr>
      <w:spacing w:before="100" w:beforeAutospacing="1" w:after="100" w:afterAutospacing="1"/>
    </w:pPr>
    <w:rPr>
      <w:rFonts w:ascii="Times New Roman" w:hAnsi="Times New Roman"/>
      <w:sz w:val="24"/>
      <w:lang w:val="es-ES" w:eastAsia="es-ES"/>
    </w:rPr>
  </w:style>
  <w:style w:type="character" w:customStyle="1" w:styleId="apple-converted-space">
    <w:name w:val="apple-converted-space"/>
    <w:basedOn w:val="DefaultParagraphFont"/>
    <w:rsid w:val="00242266"/>
  </w:style>
  <w:style w:type="paragraph" w:customStyle="1" w:styleId="details">
    <w:name w:val="details"/>
    <w:basedOn w:val="Normal"/>
    <w:rsid w:val="00242266"/>
    <w:pPr>
      <w:spacing w:before="100" w:beforeAutospacing="1" w:after="100" w:afterAutospacing="1"/>
    </w:pPr>
    <w:rPr>
      <w:rFonts w:ascii="Times New Roman" w:hAnsi="Times New Roman"/>
      <w:sz w:val="24"/>
      <w:lang w:val="es-ES" w:eastAsia="es-ES"/>
    </w:rPr>
  </w:style>
  <w:style w:type="character" w:customStyle="1" w:styleId="jrnl">
    <w:name w:val="jrnl"/>
    <w:basedOn w:val="DefaultParagraphFont"/>
    <w:rsid w:val="00242266"/>
  </w:style>
  <w:style w:type="character" w:styleId="Emphasis">
    <w:name w:val="Emphasis"/>
    <w:uiPriority w:val="20"/>
    <w:qFormat/>
    <w:rsid w:val="00851829"/>
    <w:rPr>
      <w:b/>
      <w:bCs/>
      <w:i w:val="0"/>
      <w:iCs w:val="0"/>
    </w:rPr>
  </w:style>
  <w:style w:type="character" w:customStyle="1" w:styleId="Heading1Char">
    <w:name w:val="Heading 1 Char"/>
    <w:link w:val="Heading1"/>
    <w:uiPriority w:val="9"/>
    <w:rsid w:val="006C765C"/>
    <w:rPr>
      <w:rFonts w:ascii="Times New Roman" w:hAnsi="Times New Roman"/>
      <w:b/>
      <w:bCs/>
      <w:kern w:val="36"/>
      <w:sz w:val="48"/>
      <w:szCs w:val="48"/>
    </w:rPr>
  </w:style>
  <w:style w:type="character" w:customStyle="1" w:styleId="highlight">
    <w:name w:val="highlight"/>
    <w:basedOn w:val="DefaultParagraphFont"/>
    <w:rsid w:val="006C765C"/>
  </w:style>
  <w:style w:type="paragraph" w:styleId="Revision">
    <w:name w:val="Revision"/>
    <w:hidden/>
    <w:uiPriority w:val="99"/>
    <w:semiHidden/>
    <w:rsid w:val="000D0B04"/>
    <w:rPr>
      <w:rFonts w:ascii="Arial" w:hAnsi="Arial"/>
      <w:sz w:val="22"/>
      <w:szCs w:val="24"/>
      <w:lang w:val="en-GB" w:eastAsia="ja-JP"/>
    </w:rPr>
  </w:style>
  <w:style w:type="character" w:styleId="EndnoteReference">
    <w:name w:val="endnote reference"/>
    <w:rsid w:val="003A3B99"/>
    <w:rPr>
      <w:vertAlign w:val="superscript"/>
    </w:rPr>
  </w:style>
  <w:style w:type="paragraph" w:styleId="ListParagraph">
    <w:name w:val="List Paragraph"/>
    <w:basedOn w:val="Normal"/>
    <w:uiPriority w:val="34"/>
    <w:qFormat/>
    <w:rsid w:val="009E4968"/>
    <w:pPr>
      <w:spacing w:after="0"/>
      <w:ind w:left="720"/>
    </w:pPr>
    <w:rPr>
      <w:rFonts w:ascii="Calibri" w:eastAsia="Calibri" w:hAnsi="Calibri"/>
      <w:szCs w:val="22"/>
      <w:lang w:val="fr-CH" w:eastAsia="fr-CH"/>
    </w:rPr>
  </w:style>
  <w:style w:type="paragraph" w:customStyle="1" w:styleId="Title2">
    <w:name w:val="Title2"/>
    <w:basedOn w:val="Normal"/>
    <w:rsid w:val="0006024E"/>
    <w:pPr>
      <w:spacing w:before="100" w:beforeAutospacing="1" w:after="100" w:afterAutospacing="1"/>
    </w:pPr>
    <w:rPr>
      <w:rFonts w:ascii="Times New Roman" w:hAnsi="Times New Roman"/>
      <w:sz w:val="24"/>
      <w:lang w:val="es-ES" w:eastAsia="es-ES"/>
    </w:rPr>
  </w:style>
  <w:style w:type="paragraph" w:customStyle="1" w:styleId="EndNoteBibliographyTitle">
    <w:name w:val="EndNote Bibliography Title"/>
    <w:basedOn w:val="Normal"/>
    <w:link w:val="EndNoteBibliographyTitleChar"/>
    <w:rsid w:val="005177E1"/>
    <w:pPr>
      <w:spacing w:after="0"/>
      <w:jc w:val="center"/>
    </w:pPr>
    <w:rPr>
      <w:rFonts w:cs="Arial"/>
      <w:noProof/>
    </w:rPr>
  </w:style>
  <w:style w:type="character" w:customStyle="1" w:styleId="EndNoteBibliographyTitleChar">
    <w:name w:val="EndNote Bibliography Title Char"/>
    <w:link w:val="EndNoteBibliographyTitle"/>
    <w:rsid w:val="005177E1"/>
    <w:rPr>
      <w:rFonts w:ascii="Arial" w:hAnsi="Arial" w:cs="Arial"/>
      <w:noProof/>
      <w:sz w:val="22"/>
      <w:szCs w:val="24"/>
      <w:lang w:val="en-GB" w:eastAsia="ja-JP"/>
    </w:rPr>
  </w:style>
  <w:style w:type="paragraph" w:customStyle="1" w:styleId="EndNoteBibliography">
    <w:name w:val="EndNote Bibliography"/>
    <w:basedOn w:val="Normal"/>
    <w:link w:val="EndNoteBibliographyChar"/>
    <w:rsid w:val="005177E1"/>
    <w:pPr>
      <w:jc w:val="both"/>
    </w:pPr>
    <w:rPr>
      <w:rFonts w:cs="Arial"/>
      <w:noProof/>
    </w:rPr>
  </w:style>
  <w:style w:type="character" w:customStyle="1" w:styleId="EndNoteBibliographyChar">
    <w:name w:val="EndNote Bibliography Char"/>
    <w:link w:val="EndNoteBibliography"/>
    <w:rsid w:val="005177E1"/>
    <w:rPr>
      <w:rFonts w:ascii="Arial" w:hAnsi="Arial" w:cs="Arial"/>
      <w:noProof/>
      <w:sz w:val="22"/>
      <w:szCs w:val="24"/>
      <w:lang w:val="en-GB" w:eastAsia="ja-JP"/>
    </w:rPr>
  </w:style>
  <w:style w:type="character" w:styleId="FollowedHyperlink">
    <w:name w:val="FollowedHyperlink"/>
    <w:uiPriority w:val="99"/>
    <w:semiHidden/>
    <w:unhideWhenUsed/>
    <w:rsid w:val="002A74CE"/>
    <w:rPr>
      <w:color w:val="954F72"/>
      <w:u w:val="single"/>
    </w:rPr>
  </w:style>
  <w:style w:type="table" w:styleId="PlainTable2">
    <w:name w:val="Plain Table 2"/>
    <w:basedOn w:val="TableNormal"/>
    <w:uiPriority w:val="42"/>
    <w:rsid w:val="00292F0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LineNumber">
    <w:name w:val="line number"/>
    <w:basedOn w:val="DefaultParagraphFont"/>
    <w:uiPriority w:val="99"/>
    <w:semiHidden/>
    <w:unhideWhenUsed/>
    <w:rsid w:val="007C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6412">
      <w:bodyDiv w:val="1"/>
      <w:marLeft w:val="0"/>
      <w:marRight w:val="0"/>
      <w:marTop w:val="0"/>
      <w:marBottom w:val="0"/>
      <w:divBdr>
        <w:top w:val="none" w:sz="0" w:space="0" w:color="auto"/>
        <w:left w:val="none" w:sz="0" w:space="0" w:color="auto"/>
        <w:bottom w:val="none" w:sz="0" w:space="0" w:color="auto"/>
        <w:right w:val="none" w:sz="0" w:space="0" w:color="auto"/>
      </w:divBdr>
    </w:div>
    <w:div w:id="268708568">
      <w:bodyDiv w:val="1"/>
      <w:marLeft w:val="0"/>
      <w:marRight w:val="0"/>
      <w:marTop w:val="0"/>
      <w:marBottom w:val="0"/>
      <w:divBdr>
        <w:top w:val="none" w:sz="0" w:space="0" w:color="auto"/>
        <w:left w:val="none" w:sz="0" w:space="0" w:color="auto"/>
        <w:bottom w:val="none" w:sz="0" w:space="0" w:color="auto"/>
        <w:right w:val="none" w:sz="0" w:space="0" w:color="auto"/>
      </w:divBdr>
      <w:divsChild>
        <w:div w:id="1543906050">
          <w:marLeft w:val="1440"/>
          <w:marRight w:val="0"/>
          <w:marTop w:val="100"/>
          <w:marBottom w:val="0"/>
          <w:divBdr>
            <w:top w:val="none" w:sz="0" w:space="0" w:color="auto"/>
            <w:left w:val="none" w:sz="0" w:space="0" w:color="auto"/>
            <w:bottom w:val="none" w:sz="0" w:space="0" w:color="auto"/>
            <w:right w:val="none" w:sz="0" w:space="0" w:color="auto"/>
          </w:divBdr>
        </w:div>
        <w:div w:id="1622301189">
          <w:marLeft w:val="1440"/>
          <w:marRight w:val="0"/>
          <w:marTop w:val="100"/>
          <w:marBottom w:val="0"/>
          <w:divBdr>
            <w:top w:val="none" w:sz="0" w:space="0" w:color="auto"/>
            <w:left w:val="none" w:sz="0" w:space="0" w:color="auto"/>
            <w:bottom w:val="none" w:sz="0" w:space="0" w:color="auto"/>
            <w:right w:val="none" w:sz="0" w:space="0" w:color="auto"/>
          </w:divBdr>
        </w:div>
      </w:divsChild>
    </w:div>
    <w:div w:id="279340251">
      <w:bodyDiv w:val="1"/>
      <w:marLeft w:val="0"/>
      <w:marRight w:val="0"/>
      <w:marTop w:val="0"/>
      <w:marBottom w:val="0"/>
      <w:divBdr>
        <w:top w:val="none" w:sz="0" w:space="0" w:color="auto"/>
        <w:left w:val="none" w:sz="0" w:space="0" w:color="auto"/>
        <w:bottom w:val="none" w:sz="0" w:space="0" w:color="auto"/>
        <w:right w:val="none" w:sz="0" w:space="0" w:color="auto"/>
      </w:divBdr>
      <w:divsChild>
        <w:div w:id="28339696">
          <w:marLeft w:val="504"/>
          <w:marRight w:val="0"/>
          <w:marTop w:val="140"/>
          <w:marBottom w:val="0"/>
          <w:divBdr>
            <w:top w:val="none" w:sz="0" w:space="0" w:color="auto"/>
            <w:left w:val="none" w:sz="0" w:space="0" w:color="auto"/>
            <w:bottom w:val="none" w:sz="0" w:space="0" w:color="auto"/>
            <w:right w:val="none" w:sz="0" w:space="0" w:color="auto"/>
          </w:divBdr>
        </w:div>
        <w:div w:id="558639775">
          <w:marLeft w:val="1440"/>
          <w:marRight w:val="0"/>
          <w:marTop w:val="100"/>
          <w:marBottom w:val="0"/>
          <w:divBdr>
            <w:top w:val="none" w:sz="0" w:space="0" w:color="auto"/>
            <w:left w:val="none" w:sz="0" w:space="0" w:color="auto"/>
            <w:bottom w:val="none" w:sz="0" w:space="0" w:color="auto"/>
            <w:right w:val="none" w:sz="0" w:space="0" w:color="auto"/>
          </w:divBdr>
        </w:div>
        <w:div w:id="1014501473">
          <w:marLeft w:val="1440"/>
          <w:marRight w:val="0"/>
          <w:marTop w:val="100"/>
          <w:marBottom w:val="0"/>
          <w:divBdr>
            <w:top w:val="none" w:sz="0" w:space="0" w:color="auto"/>
            <w:left w:val="none" w:sz="0" w:space="0" w:color="auto"/>
            <w:bottom w:val="none" w:sz="0" w:space="0" w:color="auto"/>
            <w:right w:val="none" w:sz="0" w:space="0" w:color="auto"/>
          </w:divBdr>
        </w:div>
        <w:div w:id="1109013138">
          <w:marLeft w:val="504"/>
          <w:marRight w:val="0"/>
          <w:marTop w:val="140"/>
          <w:marBottom w:val="0"/>
          <w:divBdr>
            <w:top w:val="none" w:sz="0" w:space="0" w:color="auto"/>
            <w:left w:val="none" w:sz="0" w:space="0" w:color="auto"/>
            <w:bottom w:val="none" w:sz="0" w:space="0" w:color="auto"/>
            <w:right w:val="none" w:sz="0" w:space="0" w:color="auto"/>
          </w:divBdr>
        </w:div>
        <w:div w:id="1293287443">
          <w:marLeft w:val="1440"/>
          <w:marRight w:val="0"/>
          <w:marTop w:val="100"/>
          <w:marBottom w:val="0"/>
          <w:divBdr>
            <w:top w:val="none" w:sz="0" w:space="0" w:color="auto"/>
            <w:left w:val="none" w:sz="0" w:space="0" w:color="auto"/>
            <w:bottom w:val="none" w:sz="0" w:space="0" w:color="auto"/>
            <w:right w:val="none" w:sz="0" w:space="0" w:color="auto"/>
          </w:divBdr>
        </w:div>
        <w:div w:id="1441147853">
          <w:marLeft w:val="1008"/>
          <w:marRight w:val="0"/>
          <w:marTop w:val="110"/>
          <w:marBottom w:val="0"/>
          <w:divBdr>
            <w:top w:val="none" w:sz="0" w:space="0" w:color="auto"/>
            <w:left w:val="none" w:sz="0" w:space="0" w:color="auto"/>
            <w:bottom w:val="none" w:sz="0" w:space="0" w:color="auto"/>
            <w:right w:val="none" w:sz="0" w:space="0" w:color="auto"/>
          </w:divBdr>
        </w:div>
        <w:div w:id="1857114792">
          <w:marLeft w:val="1008"/>
          <w:marRight w:val="0"/>
          <w:marTop w:val="110"/>
          <w:marBottom w:val="0"/>
          <w:divBdr>
            <w:top w:val="none" w:sz="0" w:space="0" w:color="auto"/>
            <w:left w:val="none" w:sz="0" w:space="0" w:color="auto"/>
            <w:bottom w:val="none" w:sz="0" w:space="0" w:color="auto"/>
            <w:right w:val="none" w:sz="0" w:space="0" w:color="auto"/>
          </w:divBdr>
        </w:div>
      </w:divsChild>
    </w:div>
    <w:div w:id="337511336">
      <w:bodyDiv w:val="1"/>
      <w:marLeft w:val="0"/>
      <w:marRight w:val="0"/>
      <w:marTop w:val="0"/>
      <w:marBottom w:val="0"/>
      <w:divBdr>
        <w:top w:val="none" w:sz="0" w:space="0" w:color="auto"/>
        <w:left w:val="none" w:sz="0" w:space="0" w:color="auto"/>
        <w:bottom w:val="none" w:sz="0" w:space="0" w:color="auto"/>
        <w:right w:val="none" w:sz="0" w:space="0" w:color="auto"/>
      </w:divBdr>
      <w:divsChild>
        <w:div w:id="217208268">
          <w:marLeft w:val="504"/>
          <w:marRight w:val="0"/>
          <w:marTop w:val="140"/>
          <w:marBottom w:val="0"/>
          <w:divBdr>
            <w:top w:val="none" w:sz="0" w:space="0" w:color="auto"/>
            <w:left w:val="none" w:sz="0" w:space="0" w:color="auto"/>
            <w:bottom w:val="none" w:sz="0" w:space="0" w:color="auto"/>
            <w:right w:val="none" w:sz="0" w:space="0" w:color="auto"/>
          </w:divBdr>
        </w:div>
        <w:div w:id="314191827">
          <w:marLeft w:val="504"/>
          <w:marRight w:val="0"/>
          <w:marTop w:val="140"/>
          <w:marBottom w:val="0"/>
          <w:divBdr>
            <w:top w:val="none" w:sz="0" w:space="0" w:color="auto"/>
            <w:left w:val="none" w:sz="0" w:space="0" w:color="auto"/>
            <w:bottom w:val="none" w:sz="0" w:space="0" w:color="auto"/>
            <w:right w:val="none" w:sz="0" w:space="0" w:color="auto"/>
          </w:divBdr>
        </w:div>
        <w:div w:id="838423668">
          <w:marLeft w:val="1440"/>
          <w:marRight w:val="0"/>
          <w:marTop w:val="100"/>
          <w:marBottom w:val="0"/>
          <w:divBdr>
            <w:top w:val="none" w:sz="0" w:space="0" w:color="auto"/>
            <w:left w:val="none" w:sz="0" w:space="0" w:color="auto"/>
            <w:bottom w:val="none" w:sz="0" w:space="0" w:color="auto"/>
            <w:right w:val="none" w:sz="0" w:space="0" w:color="auto"/>
          </w:divBdr>
        </w:div>
        <w:div w:id="1127158933">
          <w:marLeft w:val="1440"/>
          <w:marRight w:val="0"/>
          <w:marTop w:val="100"/>
          <w:marBottom w:val="0"/>
          <w:divBdr>
            <w:top w:val="none" w:sz="0" w:space="0" w:color="auto"/>
            <w:left w:val="none" w:sz="0" w:space="0" w:color="auto"/>
            <w:bottom w:val="none" w:sz="0" w:space="0" w:color="auto"/>
            <w:right w:val="none" w:sz="0" w:space="0" w:color="auto"/>
          </w:divBdr>
        </w:div>
        <w:div w:id="1471822903">
          <w:marLeft w:val="1440"/>
          <w:marRight w:val="0"/>
          <w:marTop w:val="100"/>
          <w:marBottom w:val="0"/>
          <w:divBdr>
            <w:top w:val="none" w:sz="0" w:space="0" w:color="auto"/>
            <w:left w:val="none" w:sz="0" w:space="0" w:color="auto"/>
            <w:bottom w:val="none" w:sz="0" w:space="0" w:color="auto"/>
            <w:right w:val="none" w:sz="0" w:space="0" w:color="auto"/>
          </w:divBdr>
        </w:div>
        <w:div w:id="1769538427">
          <w:marLeft w:val="504"/>
          <w:marRight w:val="0"/>
          <w:marTop w:val="140"/>
          <w:marBottom w:val="0"/>
          <w:divBdr>
            <w:top w:val="none" w:sz="0" w:space="0" w:color="auto"/>
            <w:left w:val="none" w:sz="0" w:space="0" w:color="auto"/>
            <w:bottom w:val="none" w:sz="0" w:space="0" w:color="auto"/>
            <w:right w:val="none" w:sz="0" w:space="0" w:color="auto"/>
          </w:divBdr>
        </w:div>
      </w:divsChild>
    </w:div>
    <w:div w:id="339548859">
      <w:bodyDiv w:val="1"/>
      <w:marLeft w:val="0"/>
      <w:marRight w:val="0"/>
      <w:marTop w:val="0"/>
      <w:marBottom w:val="0"/>
      <w:divBdr>
        <w:top w:val="none" w:sz="0" w:space="0" w:color="auto"/>
        <w:left w:val="none" w:sz="0" w:space="0" w:color="auto"/>
        <w:bottom w:val="none" w:sz="0" w:space="0" w:color="auto"/>
        <w:right w:val="none" w:sz="0" w:space="0" w:color="auto"/>
      </w:divBdr>
      <w:divsChild>
        <w:div w:id="405688830">
          <w:marLeft w:val="504"/>
          <w:marRight w:val="0"/>
          <w:marTop w:val="140"/>
          <w:marBottom w:val="0"/>
          <w:divBdr>
            <w:top w:val="none" w:sz="0" w:space="0" w:color="auto"/>
            <w:left w:val="none" w:sz="0" w:space="0" w:color="auto"/>
            <w:bottom w:val="none" w:sz="0" w:space="0" w:color="auto"/>
            <w:right w:val="none" w:sz="0" w:space="0" w:color="auto"/>
          </w:divBdr>
        </w:div>
        <w:div w:id="706611101">
          <w:marLeft w:val="1008"/>
          <w:marRight w:val="0"/>
          <w:marTop w:val="110"/>
          <w:marBottom w:val="0"/>
          <w:divBdr>
            <w:top w:val="none" w:sz="0" w:space="0" w:color="auto"/>
            <w:left w:val="none" w:sz="0" w:space="0" w:color="auto"/>
            <w:bottom w:val="none" w:sz="0" w:space="0" w:color="auto"/>
            <w:right w:val="none" w:sz="0" w:space="0" w:color="auto"/>
          </w:divBdr>
        </w:div>
        <w:div w:id="815268628">
          <w:marLeft w:val="504"/>
          <w:marRight w:val="0"/>
          <w:marTop w:val="140"/>
          <w:marBottom w:val="0"/>
          <w:divBdr>
            <w:top w:val="none" w:sz="0" w:space="0" w:color="auto"/>
            <w:left w:val="none" w:sz="0" w:space="0" w:color="auto"/>
            <w:bottom w:val="none" w:sz="0" w:space="0" w:color="auto"/>
            <w:right w:val="none" w:sz="0" w:space="0" w:color="auto"/>
          </w:divBdr>
        </w:div>
        <w:div w:id="1058358140">
          <w:marLeft w:val="1008"/>
          <w:marRight w:val="0"/>
          <w:marTop w:val="110"/>
          <w:marBottom w:val="0"/>
          <w:divBdr>
            <w:top w:val="none" w:sz="0" w:space="0" w:color="auto"/>
            <w:left w:val="none" w:sz="0" w:space="0" w:color="auto"/>
            <w:bottom w:val="none" w:sz="0" w:space="0" w:color="auto"/>
            <w:right w:val="none" w:sz="0" w:space="0" w:color="auto"/>
          </w:divBdr>
        </w:div>
        <w:div w:id="1264653838">
          <w:marLeft w:val="1008"/>
          <w:marRight w:val="0"/>
          <w:marTop w:val="110"/>
          <w:marBottom w:val="0"/>
          <w:divBdr>
            <w:top w:val="none" w:sz="0" w:space="0" w:color="auto"/>
            <w:left w:val="none" w:sz="0" w:space="0" w:color="auto"/>
            <w:bottom w:val="none" w:sz="0" w:space="0" w:color="auto"/>
            <w:right w:val="none" w:sz="0" w:space="0" w:color="auto"/>
          </w:divBdr>
        </w:div>
        <w:div w:id="1502313617">
          <w:marLeft w:val="504"/>
          <w:marRight w:val="0"/>
          <w:marTop w:val="140"/>
          <w:marBottom w:val="0"/>
          <w:divBdr>
            <w:top w:val="none" w:sz="0" w:space="0" w:color="auto"/>
            <w:left w:val="none" w:sz="0" w:space="0" w:color="auto"/>
            <w:bottom w:val="none" w:sz="0" w:space="0" w:color="auto"/>
            <w:right w:val="none" w:sz="0" w:space="0" w:color="auto"/>
          </w:divBdr>
        </w:div>
        <w:div w:id="1859539216">
          <w:marLeft w:val="1008"/>
          <w:marRight w:val="0"/>
          <w:marTop w:val="110"/>
          <w:marBottom w:val="0"/>
          <w:divBdr>
            <w:top w:val="none" w:sz="0" w:space="0" w:color="auto"/>
            <w:left w:val="none" w:sz="0" w:space="0" w:color="auto"/>
            <w:bottom w:val="none" w:sz="0" w:space="0" w:color="auto"/>
            <w:right w:val="none" w:sz="0" w:space="0" w:color="auto"/>
          </w:divBdr>
        </w:div>
        <w:div w:id="2094082468">
          <w:marLeft w:val="1008"/>
          <w:marRight w:val="0"/>
          <w:marTop w:val="110"/>
          <w:marBottom w:val="0"/>
          <w:divBdr>
            <w:top w:val="none" w:sz="0" w:space="0" w:color="auto"/>
            <w:left w:val="none" w:sz="0" w:space="0" w:color="auto"/>
            <w:bottom w:val="none" w:sz="0" w:space="0" w:color="auto"/>
            <w:right w:val="none" w:sz="0" w:space="0" w:color="auto"/>
          </w:divBdr>
        </w:div>
        <w:div w:id="2146659876">
          <w:marLeft w:val="504"/>
          <w:marRight w:val="0"/>
          <w:marTop w:val="140"/>
          <w:marBottom w:val="0"/>
          <w:divBdr>
            <w:top w:val="none" w:sz="0" w:space="0" w:color="auto"/>
            <w:left w:val="none" w:sz="0" w:space="0" w:color="auto"/>
            <w:bottom w:val="none" w:sz="0" w:space="0" w:color="auto"/>
            <w:right w:val="none" w:sz="0" w:space="0" w:color="auto"/>
          </w:divBdr>
        </w:div>
      </w:divsChild>
    </w:div>
    <w:div w:id="385758831">
      <w:bodyDiv w:val="1"/>
      <w:marLeft w:val="0"/>
      <w:marRight w:val="0"/>
      <w:marTop w:val="0"/>
      <w:marBottom w:val="0"/>
      <w:divBdr>
        <w:top w:val="none" w:sz="0" w:space="0" w:color="auto"/>
        <w:left w:val="none" w:sz="0" w:space="0" w:color="auto"/>
        <w:bottom w:val="none" w:sz="0" w:space="0" w:color="auto"/>
        <w:right w:val="none" w:sz="0" w:space="0" w:color="auto"/>
      </w:divBdr>
      <w:divsChild>
        <w:div w:id="627202869">
          <w:marLeft w:val="0"/>
          <w:marRight w:val="0"/>
          <w:marTop w:val="34"/>
          <w:marBottom w:val="34"/>
          <w:divBdr>
            <w:top w:val="none" w:sz="0" w:space="0" w:color="auto"/>
            <w:left w:val="none" w:sz="0" w:space="0" w:color="auto"/>
            <w:bottom w:val="none" w:sz="0" w:space="0" w:color="auto"/>
            <w:right w:val="none" w:sz="0" w:space="0" w:color="auto"/>
          </w:divBdr>
        </w:div>
      </w:divsChild>
    </w:div>
    <w:div w:id="404953854">
      <w:bodyDiv w:val="1"/>
      <w:marLeft w:val="0"/>
      <w:marRight w:val="0"/>
      <w:marTop w:val="0"/>
      <w:marBottom w:val="0"/>
      <w:divBdr>
        <w:top w:val="none" w:sz="0" w:space="0" w:color="auto"/>
        <w:left w:val="none" w:sz="0" w:space="0" w:color="auto"/>
        <w:bottom w:val="none" w:sz="0" w:space="0" w:color="auto"/>
        <w:right w:val="none" w:sz="0" w:space="0" w:color="auto"/>
      </w:divBdr>
      <w:divsChild>
        <w:div w:id="118115838">
          <w:marLeft w:val="1008"/>
          <w:marRight w:val="0"/>
          <w:marTop w:val="110"/>
          <w:marBottom w:val="0"/>
          <w:divBdr>
            <w:top w:val="none" w:sz="0" w:space="0" w:color="auto"/>
            <w:left w:val="none" w:sz="0" w:space="0" w:color="auto"/>
            <w:bottom w:val="none" w:sz="0" w:space="0" w:color="auto"/>
            <w:right w:val="none" w:sz="0" w:space="0" w:color="auto"/>
          </w:divBdr>
        </w:div>
        <w:div w:id="308559751">
          <w:marLeft w:val="504"/>
          <w:marRight w:val="0"/>
          <w:marTop w:val="140"/>
          <w:marBottom w:val="0"/>
          <w:divBdr>
            <w:top w:val="none" w:sz="0" w:space="0" w:color="auto"/>
            <w:left w:val="none" w:sz="0" w:space="0" w:color="auto"/>
            <w:bottom w:val="none" w:sz="0" w:space="0" w:color="auto"/>
            <w:right w:val="none" w:sz="0" w:space="0" w:color="auto"/>
          </w:divBdr>
        </w:div>
        <w:div w:id="535241596">
          <w:marLeft w:val="1008"/>
          <w:marRight w:val="0"/>
          <w:marTop w:val="110"/>
          <w:marBottom w:val="0"/>
          <w:divBdr>
            <w:top w:val="none" w:sz="0" w:space="0" w:color="auto"/>
            <w:left w:val="none" w:sz="0" w:space="0" w:color="auto"/>
            <w:bottom w:val="none" w:sz="0" w:space="0" w:color="auto"/>
            <w:right w:val="none" w:sz="0" w:space="0" w:color="auto"/>
          </w:divBdr>
        </w:div>
        <w:div w:id="794253697">
          <w:marLeft w:val="1440"/>
          <w:marRight w:val="0"/>
          <w:marTop w:val="110"/>
          <w:marBottom w:val="0"/>
          <w:divBdr>
            <w:top w:val="none" w:sz="0" w:space="0" w:color="auto"/>
            <w:left w:val="none" w:sz="0" w:space="0" w:color="auto"/>
            <w:bottom w:val="none" w:sz="0" w:space="0" w:color="auto"/>
            <w:right w:val="none" w:sz="0" w:space="0" w:color="auto"/>
          </w:divBdr>
        </w:div>
        <w:div w:id="906914675">
          <w:marLeft w:val="1440"/>
          <w:marRight w:val="0"/>
          <w:marTop w:val="110"/>
          <w:marBottom w:val="0"/>
          <w:divBdr>
            <w:top w:val="none" w:sz="0" w:space="0" w:color="auto"/>
            <w:left w:val="none" w:sz="0" w:space="0" w:color="auto"/>
            <w:bottom w:val="none" w:sz="0" w:space="0" w:color="auto"/>
            <w:right w:val="none" w:sz="0" w:space="0" w:color="auto"/>
          </w:divBdr>
        </w:div>
        <w:div w:id="1627197186">
          <w:marLeft w:val="1440"/>
          <w:marRight w:val="0"/>
          <w:marTop w:val="110"/>
          <w:marBottom w:val="0"/>
          <w:divBdr>
            <w:top w:val="none" w:sz="0" w:space="0" w:color="auto"/>
            <w:left w:val="none" w:sz="0" w:space="0" w:color="auto"/>
            <w:bottom w:val="none" w:sz="0" w:space="0" w:color="auto"/>
            <w:right w:val="none" w:sz="0" w:space="0" w:color="auto"/>
          </w:divBdr>
        </w:div>
        <w:div w:id="1763599322">
          <w:marLeft w:val="1008"/>
          <w:marRight w:val="0"/>
          <w:marTop w:val="110"/>
          <w:marBottom w:val="0"/>
          <w:divBdr>
            <w:top w:val="none" w:sz="0" w:space="0" w:color="auto"/>
            <w:left w:val="none" w:sz="0" w:space="0" w:color="auto"/>
            <w:bottom w:val="none" w:sz="0" w:space="0" w:color="auto"/>
            <w:right w:val="none" w:sz="0" w:space="0" w:color="auto"/>
          </w:divBdr>
        </w:div>
        <w:div w:id="1893225078">
          <w:marLeft w:val="1440"/>
          <w:marRight w:val="0"/>
          <w:marTop w:val="110"/>
          <w:marBottom w:val="0"/>
          <w:divBdr>
            <w:top w:val="none" w:sz="0" w:space="0" w:color="auto"/>
            <w:left w:val="none" w:sz="0" w:space="0" w:color="auto"/>
            <w:bottom w:val="none" w:sz="0" w:space="0" w:color="auto"/>
            <w:right w:val="none" w:sz="0" w:space="0" w:color="auto"/>
          </w:divBdr>
        </w:div>
        <w:div w:id="2057313613">
          <w:marLeft w:val="1008"/>
          <w:marRight w:val="0"/>
          <w:marTop w:val="110"/>
          <w:marBottom w:val="0"/>
          <w:divBdr>
            <w:top w:val="none" w:sz="0" w:space="0" w:color="auto"/>
            <w:left w:val="none" w:sz="0" w:space="0" w:color="auto"/>
            <w:bottom w:val="none" w:sz="0" w:space="0" w:color="auto"/>
            <w:right w:val="none" w:sz="0" w:space="0" w:color="auto"/>
          </w:divBdr>
        </w:div>
      </w:divsChild>
    </w:div>
    <w:div w:id="494297782">
      <w:bodyDiv w:val="1"/>
      <w:marLeft w:val="0"/>
      <w:marRight w:val="0"/>
      <w:marTop w:val="0"/>
      <w:marBottom w:val="0"/>
      <w:divBdr>
        <w:top w:val="none" w:sz="0" w:space="0" w:color="auto"/>
        <w:left w:val="none" w:sz="0" w:space="0" w:color="auto"/>
        <w:bottom w:val="none" w:sz="0" w:space="0" w:color="auto"/>
        <w:right w:val="none" w:sz="0" w:space="0" w:color="auto"/>
      </w:divBdr>
      <w:divsChild>
        <w:div w:id="1849518245">
          <w:marLeft w:val="0"/>
          <w:marRight w:val="0"/>
          <w:marTop w:val="34"/>
          <w:marBottom w:val="34"/>
          <w:divBdr>
            <w:top w:val="none" w:sz="0" w:space="0" w:color="auto"/>
            <w:left w:val="none" w:sz="0" w:space="0" w:color="auto"/>
            <w:bottom w:val="none" w:sz="0" w:space="0" w:color="auto"/>
            <w:right w:val="none" w:sz="0" w:space="0" w:color="auto"/>
          </w:divBdr>
        </w:div>
      </w:divsChild>
    </w:div>
    <w:div w:id="512769473">
      <w:bodyDiv w:val="1"/>
      <w:marLeft w:val="0"/>
      <w:marRight w:val="0"/>
      <w:marTop w:val="0"/>
      <w:marBottom w:val="0"/>
      <w:divBdr>
        <w:top w:val="none" w:sz="0" w:space="0" w:color="auto"/>
        <w:left w:val="none" w:sz="0" w:space="0" w:color="auto"/>
        <w:bottom w:val="none" w:sz="0" w:space="0" w:color="auto"/>
        <w:right w:val="none" w:sz="0" w:space="0" w:color="auto"/>
      </w:divBdr>
    </w:div>
    <w:div w:id="539052556">
      <w:bodyDiv w:val="1"/>
      <w:marLeft w:val="0"/>
      <w:marRight w:val="0"/>
      <w:marTop w:val="0"/>
      <w:marBottom w:val="0"/>
      <w:divBdr>
        <w:top w:val="none" w:sz="0" w:space="0" w:color="auto"/>
        <w:left w:val="none" w:sz="0" w:space="0" w:color="auto"/>
        <w:bottom w:val="none" w:sz="0" w:space="0" w:color="auto"/>
        <w:right w:val="none" w:sz="0" w:space="0" w:color="auto"/>
      </w:divBdr>
      <w:divsChild>
        <w:div w:id="1648238008">
          <w:marLeft w:val="446"/>
          <w:marRight w:val="0"/>
          <w:marTop w:val="86"/>
          <w:marBottom w:val="0"/>
          <w:divBdr>
            <w:top w:val="none" w:sz="0" w:space="0" w:color="auto"/>
            <w:left w:val="none" w:sz="0" w:space="0" w:color="auto"/>
            <w:bottom w:val="none" w:sz="0" w:space="0" w:color="auto"/>
            <w:right w:val="none" w:sz="0" w:space="0" w:color="auto"/>
          </w:divBdr>
        </w:div>
      </w:divsChild>
    </w:div>
    <w:div w:id="561988600">
      <w:bodyDiv w:val="1"/>
      <w:marLeft w:val="0"/>
      <w:marRight w:val="0"/>
      <w:marTop w:val="0"/>
      <w:marBottom w:val="0"/>
      <w:divBdr>
        <w:top w:val="none" w:sz="0" w:space="0" w:color="auto"/>
        <w:left w:val="none" w:sz="0" w:space="0" w:color="auto"/>
        <w:bottom w:val="none" w:sz="0" w:space="0" w:color="auto"/>
        <w:right w:val="none" w:sz="0" w:space="0" w:color="auto"/>
      </w:divBdr>
    </w:div>
    <w:div w:id="567612586">
      <w:bodyDiv w:val="1"/>
      <w:marLeft w:val="0"/>
      <w:marRight w:val="0"/>
      <w:marTop w:val="0"/>
      <w:marBottom w:val="0"/>
      <w:divBdr>
        <w:top w:val="none" w:sz="0" w:space="0" w:color="auto"/>
        <w:left w:val="none" w:sz="0" w:space="0" w:color="auto"/>
        <w:bottom w:val="none" w:sz="0" w:space="0" w:color="auto"/>
        <w:right w:val="none" w:sz="0" w:space="0" w:color="auto"/>
      </w:divBdr>
      <w:divsChild>
        <w:div w:id="1478568006">
          <w:marLeft w:val="0"/>
          <w:marRight w:val="0"/>
          <w:marTop w:val="34"/>
          <w:marBottom w:val="34"/>
          <w:divBdr>
            <w:top w:val="none" w:sz="0" w:space="0" w:color="auto"/>
            <w:left w:val="none" w:sz="0" w:space="0" w:color="auto"/>
            <w:bottom w:val="none" w:sz="0" w:space="0" w:color="auto"/>
            <w:right w:val="none" w:sz="0" w:space="0" w:color="auto"/>
          </w:divBdr>
        </w:div>
      </w:divsChild>
    </w:div>
    <w:div w:id="600987178">
      <w:bodyDiv w:val="1"/>
      <w:marLeft w:val="0"/>
      <w:marRight w:val="0"/>
      <w:marTop w:val="0"/>
      <w:marBottom w:val="0"/>
      <w:divBdr>
        <w:top w:val="none" w:sz="0" w:space="0" w:color="auto"/>
        <w:left w:val="none" w:sz="0" w:space="0" w:color="auto"/>
        <w:bottom w:val="none" w:sz="0" w:space="0" w:color="auto"/>
        <w:right w:val="none" w:sz="0" w:space="0" w:color="auto"/>
      </w:divBdr>
      <w:divsChild>
        <w:div w:id="2080983066">
          <w:marLeft w:val="446"/>
          <w:marRight w:val="0"/>
          <w:marTop w:val="86"/>
          <w:marBottom w:val="0"/>
          <w:divBdr>
            <w:top w:val="none" w:sz="0" w:space="0" w:color="auto"/>
            <w:left w:val="none" w:sz="0" w:space="0" w:color="auto"/>
            <w:bottom w:val="none" w:sz="0" w:space="0" w:color="auto"/>
            <w:right w:val="none" w:sz="0" w:space="0" w:color="auto"/>
          </w:divBdr>
        </w:div>
      </w:divsChild>
    </w:div>
    <w:div w:id="697312424">
      <w:bodyDiv w:val="1"/>
      <w:marLeft w:val="0"/>
      <w:marRight w:val="0"/>
      <w:marTop w:val="0"/>
      <w:marBottom w:val="0"/>
      <w:divBdr>
        <w:top w:val="none" w:sz="0" w:space="0" w:color="auto"/>
        <w:left w:val="none" w:sz="0" w:space="0" w:color="auto"/>
        <w:bottom w:val="none" w:sz="0" w:space="0" w:color="auto"/>
        <w:right w:val="none" w:sz="0" w:space="0" w:color="auto"/>
      </w:divBdr>
      <w:divsChild>
        <w:div w:id="14503394">
          <w:marLeft w:val="504"/>
          <w:marRight w:val="0"/>
          <w:marTop w:val="140"/>
          <w:marBottom w:val="0"/>
          <w:divBdr>
            <w:top w:val="none" w:sz="0" w:space="0" w:color="auto"/>
            <w:left w:val="none" w:sz="0" w:space="0" w:color="auto"/>
            <w:bottom w:val="none" w:sz="0" w:space="0" w:color="auto"/>
            <w:right w:val="none" w:sz="0" w:space="0" w:color="auto"/>
          </w:divBdr>
        </w:div>
        <w:div w:id="1011832969">
          <w:marLeft w:val="504"/>
          <w:marRight w:val="0"/>
          <w:marTop w:val="140"/>
          <w:marBottom w:val="0"/>
          <w:divBdr>
            <w:top w:val="none" w:sz="0" w:space="0" w:color="auto"/>
            <w:left w:val="none" w:sz="0" w:space="0" w:color="auto"/>
            <w:bottom w:val="none" w:sz="0" w:space="0" w:color="auto"/>
            <w:right w:val="none" w:sz="0" w:space="0" w:color="auto"/>
          </w:divBdr>
        </w:div>
        <w:div w:id="1681195083">
          <w:marLeft w:val="504"/>
          <w:marRight w:val="0"/>
          <w:marTop w:val="140"/>
          <w:marBottom w:val="0"/>
          <w:divBdr>
            <w:top w:val="none" w:sz="0" w:space="0" w:color="auto"/>
            <w:left w:val="none" w:sz="0" w:space="0" w:color="auto"/>
            <w:bottom w:val="none" w:sz="0" w:space="0" w:color="auto"/>
            <w:right w:val="none" w:sz="0" w:space="0" w:color="auto"/>
          </w:divBdr>
        </w:div>
      </w:divsChild>
    </w:div>
    <w:div w:id="829641461">
      <w:marLeft w:val="0"/>
      <w:marRight w:val="0"/>
      <w:marTop w:val="0"/>
      <w:marBottom w:val="0"/>
      <w:divBdr>
        <w:top w:val="none" w:sz="0" w:space="0" w:color="auto"/>
        <w:left w:val="none" w:sz="0" w:space="0" w:color="auto"/>
        <w:bottom w:val="none" w:sz="0" w:space="0" w:color="auto"/>
        <w:right w:val="none" w:sz="0" w:space="0" w:color="auto"/>
      </w:divBdr>
      <w:divsChild>
        <w:div w:id="2068914650">
          <w:marLeft w:val="0"/>
          <w:marRight w:val="0"/>
          <w:marTop w:val="0"/>
          <w:marBottom w:val="0"/>
          <w:divBdr>
            <w:top w:val="none" w:sz="0" w:space="0" w:color="auto"/>
            <w:left w:val="none" w:sz="0" w:space="0" w:color="auto"/>
            <w:bottom w:val="none" w:sz="0" w:space="0" w:color="auto"/>
            <w:right w:val="none" w:sz="0" w:space="0" w:color="auto"/>
          </w:divBdr>
          <w:divsChild>
            <w:div w:id="1472941367">
              <w:marLeft w:val="0"/>
              <w:marRight w:val="0"/>
              <w:marTop w:val="0"/>
              <w:marBottom w:val="0"/>
              <w:divBdr>
                <w:top w:val="none" w:sz="0" w:space="0" w:color="auto"/>
                <w:left w:val="none" w:sz="0" w:space="0" w:color="auto"/>
                <w:bottom w:val="none" w:sz="0" w:space="0" w:color="auto"/>
                <w:right w:val="none" w:sz="0" w:space="0" w:color="auto"/>
              </w:divBdr>
              <w:divsChild>
                <w:div w:id="302084817">
                  <w:marLeft w:val="0"/>
                  <w:marRight w:val="0"/>
                  <w:marTop w:val="0"/>
                  <w:marBottom w:val="0"/>
                  <w:divBdr>
                    <w:top w:val="none" w:sz="0" w:space="0" w:color="auto"/>
                    <w:left w:val="none" w:sz="0" w:space="0" w:color="auto"/>
                    <w:bottom w:val="none" w:sz="0" w:space="0" w:color="auto"/>
                    <w:right w:val="none" w:sz="0" w:space="0" w:color="auto"/>
                  </w:divBdr>
                  <w:divsChild>
                    <w:div w:id="187987032">
                      <w:marLeft w:val="0"/>
                      <w:marRight w:val="0"/>
                      <w:marTop w:val="0"/>
                      <w:marBottom w:val="0"/>
                      <w:divBdr>
                        <w:top w:val="none" w:sz="0" w:space="0" w:color="auto"/>
                        <w:left w:val="none" w:sz="0" w:space="0" w:color="auto"/>
                        <w:bottom w:val="none" w:sz="0" w:space="0" w:color="auto"/>
                        <w:right w:val="none" w:sz="0" w:space="0" w:color="auto"/>
                      </w:divBdr>
                      <w:divsChild>
                        <w:div w:id="1236284886">
                          <w:marLeft w:val="0"/>
                          <w:marRight w:val="0"/>
                          <w:marTop w:val="0"/>
                          <w:marBottom w:val="0"/>
                          <w:divBdr>
                            <w:top w:val="none" w:sz="0" w:space="0" w:color="auto"/>
                            <w:left w:val="none" w:sz="0" w:space="0" w:color="auto"/>
                            <w:bottom w:val="none" w:sz="0" w:space="0" w:color="auto"/>
                            <w:right w:val="none" w:sz="0" w:space="0" w:color="auto"/>
                          </w:divBdr>
                          <w:divsChild>
                            <w:div w:id="1439060733">
                              <w:marLeft w:val="0"/>
                              <w:marRight w:val="0"/>
                              <w:marTop w:val="0"/>
                              <w:marBottom w:val="0"/>
                              <w:divBdr>
                                <w:top w:val="none" w:sz="0" w:space="0" w:color="auto"/>
                                <w:left w:val="none" w:sz="0" w:space="0" w:color="auto"/>
                                <w:bottom w:val="none" w:sz="0" w:space="0" w:color="auto"/>
                                <w:right w:val="none" w:sz="0" w:space="0" w:color="auto"/>
                              </w:divBdr>
                              <w:divsChild>
                                <w:div w:id="1861695873">
                                  <w:marLeft w:val="0"/>
                                  <w:marRight w:val="0"/>
                                  <w:marTop w:val="0"/>
                                  <w:marBottom w:val="0"/>
                                  <w:divBdr>
                                    <w:top w:val="none" w:sz="0" w:space="0" w:color="auto"/>
                                    <w:left w:val="none" w:sz="0" w:space="0" w:color="auto"/>
                                    <w:bottom w:val="none" w:sz="0" w:space="0" w:color="auto"/>
                                    <w:right w:val="none" w:sz="0" w:space="0" w:color="auto"/>
                                  </w:divBdr>
                                  <w:divsChild>
                                    <w:div w:id="1900092367">
                                      <w:marLeft w:val="0"/>
                                      <w:marRight w:val="0"/>
                                      <w:marTop w:val="0"/>
                                      <w:marBottom w:val="0"/>
                                      <w:divBdr>
                                        <w:top w:val="none" w:sz="0" w:space="0" w:color="auto"/>
                                        <w:left w:val="none" w:sz="0" w:space="0" w:color="auto"/>
                                        <w:bottom w:val="none" w:sz="0" w:space="0" w:color="auto"/>
                                        <w:right w:val="none" w:sz="0" w:space="0" w:color="auto"/>
                                      </w:divBdr>
                                      <w:divsChild>
                                        <w:div w:id="562915141">
                                          <w:marLeft w:val="0"/>
                                          <w:marRight w:val="0"/>
                                          <w:marTop w:val="0"/>
                                          <w:marBottom w:val="0"/>
                                          <w:divBdr>
                                            <w:top w:val="none" w:sz="0" w:space="0" w:color="auto"/>
                                            <w:left w:val="none" w:sz="0" w:space="0" w:color="auto"/>
                                            <w:bottom w:val="none" w:sz="0" w:space="0" w:color="auto"/>
                                            <w:right w:val="none" w:sz="0" w:space="0" w:color="auto"/>
                                          </w:divBdr>
                                          <w:divsChild>
                                            <w:div w:id="1357652611">
                                              <w:marLeft w:val="0"/>
                                              <w:marRight w:val="0"/>
                                              <w:marTop w:val="0"/>
                                              <w:marBottom w:val="0"/>
                                              <w:divBdr>
                                                <w:top w:val="none" w:sz="0" w:space="0" w:color="auto"/>
                                                <w:left w:val="none" w:sz="0" w:space="0" w:color="auto"/>
                                                <w:bottom w:val="none" w:sz="0" w:space="0" w:color="auto"/>
                                                <w:right w:val="none" w:sz="0" w:space="0" w:color="auto"/>
                                              </w:divBdr>
                                              <w:divsChild>
                                                <w:div w:id="472908037">
                                                  <w:marLeft w:val="0"/>
                                                  <w:marRight w:val="0"/>
                                                  <w:marTop w:val="0"/>
                                                  <w:marBottom w:val="0"/>
                                                  <w:divBdr>
                                                    <w:top w:val="none" w:sz="0" w:space="0" w:color="auto"/>
                                                    <w:left w:val="none" w:sz="0" w:space="0" w:color="auto"/>
                                                    <w:bottom w:val="none" w:sz="0" w:space="0" w:color="auto"/>
                                                    <w:right w:val="none" w:sz="0" w:space="0" w:color="auto"/>
                                                  </w:divBdr>
                                                  <w:divsChild>
                                                    <w:div w:id="1976595169">
                                                      <w:marLeft w:val="0"/>
                                                      <w:marRight w:val="0"/>
                                                      <w:marTop w:val="0"/>
                                                      <w:marBottom w:val="0"/>
                                                      <w:divBdr>
                                                        <w:top w:val="none" w:sz="0" w:space="0" w:color="auto"/>
                                                        <w:left w:val="none" w:sz="0" w:space="0" w:color="auto"/>
                                                        <w:bottom w:val="none" w:sz="0" w:space="0" w:color="auto"/>
                                                        <w:right w:val="none" w:sz="0" w:space="0" w:color="auto"/>
                                                      </w:divBdr>
                                                      <w:divsChild>
                                                        <w:div w:id="159933642">
                                                          <w:marLeft w:val="0"/>
                                                          <w:marRight w:val="0"/>
                                                          <w:marTop w:val="0"/>
                                                          <w:marBottom w:val="0"/>
                                                          <w:divBdr>
                                                            <w:top w:val="none" w:sz="0" w:space="0" w:color="auto"/>
                                                            <w:left w:val="none" w:sz="0" w:space="0" w:color="auto"/>
                                                            <w:bottom w:val="none" w:sz="0" w:space="0" w:color="auto"/>
                                                            <w:right w:val="none" w:sz="0" w:space="0" w:color="auto"/>
                                                          </w:divBdr>
                                                          <w:divsChild>
                                                            <w:div w:id="1223716089">
                                                              <w:marLeft w:val="0"/>
                                                              <w:marRight w:val="0"/>
                                                              <w:marTop w:val="0"/>
                                                              <w:marBottom w:val="0"/>
                                                              <w:divBdr>
                                                                <w:top w:val="none" w:sz="0" w:space="0" w:color="auto"/>
                                                                <w:left w:val="none" w:sz="0" w:space="0" w:color="auto"/>
                                                                <w:bottom w:val="none" w:sz="0" w:space="0" w:color="auto"/>
                                                                <w:right w:val="none" w:sz="0" w:space="0" w:color="auto"/>
                                                              </w:divBdr>
                                                              <w:divsChild>
                                                                <w:div w:id="734937906">
                                                                  <w:marLeft w:val="0"/>
                                                                  <w:marRight w:val="0"/>
                                                                  <w:marTop w:val="0"/>
                                                                  <w:marBottom w:val="0"/>
                                                                  <w:divBdr>
                                                                    <w:top w:val="none" w:sz="0" w:space="0" w:color="auto"/>
                                                                    <w:left w:val="none" w:sz="0" w:space="0" w:color="auto"/>
                                                                    <w:bottom w:val="none" w:sz="0" w:space="0" w:color="auto"/>
                                                                    <w:right w:val="none" w:sz="0" w:space="0" w:color="auto"/>
                                                                  </w:divBdr>
                                                                  <w:divsChild>
                                                                    <w:div w:id="2004820660">
                                                                      <w:marLeft w:val="0"/>
                                                                      <w:marRight w:val="0"/>
                                                                      <w:marTop w:val="0"/>
                                                                      <w:marBottom w:val="0"/>
                                                                      <w:divBdr>
                                                                        <w:top w:val="none" w:sz="0" w:space="0" w:color="auto"/>
                                                                        <w:left w:val="none" w:sz="0" w:space="0" w:color="auto"/>
                                                                        <w:bottom w:val="none" w:sz="0" w:space="0" w:color="auto"/>
                                                                        <w:right w:val="none" w:sz="0" w:space="0" w:color="auto"/>
                                                                      </w:divBdr>
                                                                      <w:divsChild>
                                                                        <w:div w:id="2041347625">
                                                                          <w:marLeft w:val="0"/>
                                                                          <w:marRight w:val="0"/>
                                                                          <w:marTop w:val="0"/>
                                                                          <w:marBottom w:val="0"/>
                                                                          <w:divBdr>
                                                                            <w:top w:val="none" w:sz="0" w:space="0" w:color="auto"/>
                                                                            <w:left w:val="none" w:sz="0" w:space="0" w:color="auto"/>
                                                                            <w:bottom w:val="none" w:sz="0" w:space="0" w:color="auto"/>
                                                                            <w:right w:val="none" w:sz="0" w:space="0" w:color="auto"/>
                                                                          </w:divBdr>
                                                                          <w:divsChild>
                                                                            <w:div w:id="1821922483">
                                                                              <w:marLeft w:val="0"/>
                                                                              <w:marRight w:val="0"/>
                                                                              <w:marTop w:val="0"/>
                                                                              <w:marBottom w:val="0"/>
                                                                              <w:divBdr>
                                                                                <w:top w:val="none" w:sz="0" w:space="0" w:color="auto"/>
                                                                                <w:left w:val="none" w:sz="0" w:space="0" w:color="auto"/>
                                                                                <w:bottom w:val="none" w:sz="0" w:space="0" w:color="auto"/>
                                                                                <w:right w:val="none" w:sz="0" w:space="0" w:color="auto"/>
                                                                              </w:divBdr>
                                                                              <w:divsChild>
                                                                                <w:div w:id="1794204426">
                                                                                  <w:marLeft w:val="0"/>
                                                                                  <w:marRight w:val="0"/>
                                                                                  <w:marTop w:val="0"/>
                                                                                  <w:marBottom w:val="0"/>
                                                                                  <w:divBdr>
                                                                                    <w:top w:val="none" w:sz="0" w:space="0" w:color="auto"/>
                                                                                    <w:left w:val="none" w:sz="0" w:space="0" w:color="auto"/>
                                                                                    <w:bottom w:val="none" w:sz="0" w:space="0" w:color="auto"/>
                                                                                    <w:right w:val="none" w:sz="0" w:space="0" w:color="auto"/>
                                                                                  </w:divBdr>
                                                                                  <w:divsChild>
                                                                                    <w:div w:id="17714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941033">
      <w:bodyDiv w:val="1"/>
      <w:marLeft w:val="0"/>
      <w:marRight w:val="0"/>
      <w:marTop w:val="0"/>
      <w:marBottom w:val="0"/>
      <w:divBdr>
        <w:top w:val="none" w:sz="0" w:space="0" w:color="auto"/>
        <w:left w:val="none" w:sz="0" w:space="0" w:color="auto"/>
        <w:bottom w:val="none" w:sz="0" w:space="0" w:color="auto"/>
        <w:right w:val="none" w:sz="0" w:space="0" w:color="auto"/>
      </w:divBdr>
    </w:div>
    <w:div w:id="928151266">
      <w:bodyDiv w:val="1"/>
      <w:marLeft w:val="0"/>
      <w:marRight w:val="0"/>
      <w:marTop w:val="0"/>
      <w:marBottom w:val="0"/>
      <w:divBdr>
        <w:top w:val="none" w:sz="0" w:space="0" w:color="auto"/>
        <w:left w:val="none" w:sz="0" w:space="0" w:color="auto"/>
        <w:bottom w:val="none" w:sz="0" w:space="0" w:color="auto"/>
        <w:right w:val="none" w:sz="0" w:space="0" w:color="auto"/>
      </w:divBdr>
    </w:div>
    <w:div w:id="930705143">
      <w:bodyDiv w:val="1"/>
      <w:marLeft w:val="0"/>
      <w:marRight w:val="0"/>
      <w:marTop w:val="0"/>
      <w:marBottom w:val="0"/>
      <w:divBdr>
        <w:top w:val="none" w:sz="0" w:space="0" w:color="auto"/>
        <w:left w:val="none" w:sz="0" w:space="0" w:color="auto"/>
        <w:bottom w:val="none" w:sz="0" w:space="0" w:color="auto"/>
        <w:right w:val="none" w:sz="0" w:space="0" w:color="auto"/>
      </w:divBdr>
      <w:divsChild>
        <w:div w:id="142741874">
          <w:marLeft w:val="446"/>
          <w:marRight w:val="0"/>
          <w:marTop w:val="0"/>
          <w:marBottom w:val="0"/>
          <w:divBdr>
            <w:top w:val="none" w:sz="0" w:space="0" w:color="auto"/>
            <w:left w:val="none" w:sz="0" w:space="0" w:color="auto"/>
            <w:bottom w:val="none" w:sz="0" w:space="0" w:color="auto"/>
            <w:right w:val="none" w:sz="0" w:space="0" w:color="auto"/>
          </w:divBdr>
        </w:div>
        <w:div w:id="515462578">
          <w:marLeft w:val="446"/>
          <w:marRight w:val="0"/>
          <w:marTop w:val="0"/>
          <w:marBottom w:val="0"/>
          <w:divBdr>
            <w:top w:val="none" w:sz="0" w:space="0" w:color="auto"/>
            <w:left w:val="none" w:sz="0" w:space="0" w:color="auto"/>
            <w:bottom w:val="none" w:sz="0" w:space="0" w:color="auto"/>
            <w:right w:val="none" w:sz="0" w:space="0" w:color="auto"/>
          </w:divBdr>
        </w:div>
        <w:div w:id="577906217">
          <w:marLeft w:val="446"/>
          <w:marRight w:val="0"/>
          <w:marTop w:val="0"/>
          <w:marBottom w:val="0"/>
          <w:divBdr>
            <w:top w:val="none" w:sz="0" w:space="0" w:color="auto"/>
            <w:left w:val="none" w:sz="0" w:space="0" w:color="auto"/>
            <w:bottom w:val="none" w:sz="0" w:space="0" w:color="auto"/>
            <w:right w:val="none" w:sz="0" w:space="0" w:color="auto"/>
          </w:divBdr>
        </w:div>
        <w:div w:id="992682116">
          <w:marLeft w:val="446"/>
          <w:marRight w:val="0"/>
          <w:marTop w:val="0"/>
          <w:marBottom w:val="0"/>
          <w:divBdr>
            <w:top w:val="none" w:sz="0" w:space="0" w:color="auto"/>
            <w:left w:val="none" w:sz="0" w:space="0" w:color="auto"/>
            <w:bottom w:val="none" w:sz="0" w:space="0" w:color="auto"/>
            <w:right w:val="none" w:sz="0" w:space="0" w:color="auto"/>
          </w:divBdr>
        </w:div>
        <w:div w:id="1447193108">
          <w:marLeft w:val="446"/>
          <w:marRight w:val="0"/>
          <w:marTop w:val="0"/>
          <w:marBottom w:val="0"/>
          <w:divBdr>
            <w:top w:val="none" w:sz="0" w:space="0" w:color="auto"/>
            <w:left w:val="none" w:sz="0" w:space="0" w:color="auto"/>
            <w:bottom w:val="none" w:sz="0" w:space="0" w:color="auto"/>
            <w:right w:val="none" w:sz="0" w:space="0" w:color="auto"/>
          </w:divBdr>
        </w:div>
      </w:divsChild>
    </w:div>
    <w:div w:id="1024600581">
      <w:bodyDiv w:val="1"/>
      <w:marLeft w:val="0"/>
      <w:marRight w:val="0"/>
      <w:marTop w:val="0"/>
      <w:marBottom w:val="0"/>
      <w:divBdr>
        <w:top w:val="none" w:sz="0" w:space="0" w:color="auto"/>
        <w:left w:val="none" w:sz="0" w:space="0" w:color="auto"/>
        <w:bottom w:val="none" w:sz="0" w:space="0" w:color="auto"/>
        <w:right w:val="none" w:sz="0" w:space="0" w:color="auto"/>
      </w:divBdr>
      <w:divsChild>
        <w:div w:id="300427785">
          <w:marLeft w:val="0"/>
          <w:marRight w:val="0"/>
          <w:marTop w:val="34"/>
          <w:marBottom w:val="34"/>
          <w:divBdr>
            <w:top w:val="none" w:sz="0" w:space="0" w:color="auto"/>
            <w:left w:val="none" w:sz="0" w:space="0" w:color="auto"/>
            <w:bottom w:val="none" w:sz="0" w:space="0" w:color="auto"/>
            <w:right w:val="none" w:sz="0" w:space="0" w:color="auto"/>
          </w:divBdr>
        </w:div>
      </w:divsChild>
    </w:div>
    <w:div w:id="1069885238">
      <w:bodyDiv w:val="1"/>
      <w:marLeft w:val="0"/>
      <w:marRight w:val="0"/>
      <w:marTop w:val="0"/>
      <w:marBottom w:val="0"/>
      <w:divBdr>
        <w:top w:val="none" w:sz="0" w:space="0" w:color="auto"/>
        <w:left w:val="none" w:sz="0" w:space="0" w:color="auto"/>
        <w:bottom w:val="none" w:sz="0" w:space="0" w:color="auto"/>
        <w:right w:val="none" w:sz="0" w:space="0" w:color="auto"/>
      </w:divBdr>
      <w:divsChild>
        <w:div w:id="407272709">
          <w:marLeft w:val="446"/>
          <w:marRight w:val="0"/>
          <w:marTop w:val="86"/>
          <w:marBottom w:val="0"/>
          <w:divBdr>
            <w:top w:val="none" w:sz="0" w:space="0" w:color="auto"/>
            <w:left w:val="none" w:sz="0" w:space="0" w:color="auto"/>
            <w:bottom w:val="none" w:sz="0" w:space="0" w:color="auto"/>
            <w:right w:val="none" w:sz="0" w:space="0" w:color="auto"/>
          </w:divBdr>
        </w:div>
        <w:div w:id="510488294">
          <w:marLeft w:val="446"/>
          <w:marRight w:val="0"/>
          <w:marTop w:val="86"/>
          <w:marBottom w:val="0"/>
          <w:divBdr>
            <w:top w:val="none" w:sz="0" w:space="0" w:color="auto"/>
            <w:left w:val="none" w:sz="0" w:space="0" w:color="auto"/>
            <w:bottom w:val="none" w:sz="0" w:space="0" w:color="auto"/>
            <w:right w:val="none" w:sz="0" w:space="0" w:color="auto"/>
          </w:divBdr>
        </w:div>
        <w:div w:id="929972182">
          <w:marLeft w:val="446"/>
          <w:marRight w:val="0"/>
          <w:marTop w:val="86"/>
          <w:marBottom w:val="0"/>
          <w:divBdr>
            <w:top w:val="none" w:sz="0" w:space="0" w:color="auto"/>
            <w:left w:val="none" w:sz="0" w:space="0" w:color="auto"/>
            <w:bottom w:val="none" w:sz="0" w:space="0" w:color="auto"/>
            <w:right w:val="none" w:sz="0" w:space="0" w:color="auto"/>
          </w:divBdr>
        </w:div>
        <w:div w:id="1213345086">
          <w:marLeft w:val="446"/>
          <w:marRight w:val="0"/>
          <w:marTop w:val="86"/>
          <w:marBottom w:val="0"/>
          <w:divBdr>
            <w:top w:val="none" w:sz="0" w:space="0" w:color="auto"/>
            <w:left w:val="none" w:sz="0" w:space="0" w:color="auto"/>
            <w:bottom w:val="none" w:sz="0" w:space="0" w:color="auto"/>
            <w:right w:val="none" w:sz="0" w:space="0" w:color="auto"/>
          </w:divBdr>
        </w:div>
        <w:div w:id="1521891091">
          <w:marLeft w:val="446"/>
          <w:marRight w:val="0"/>
          <w:marTop w:val="86"/>
          <w:marBottom w:val="0"/>
          <w:divBdr>
            <w:top w:val="none" w:sz="0" w:space="0" w:color="auto"/>
            <w:left w:val="none" w:sz="0" w:space="0" w:color="auto"/>
            <w:bottom w:val="none" w:sz="0" w:space="0" w:color="auto"/>
            <w:right w:val="none" w:sz="0" w:space="0" w:color="auto"/>
          </w:divBdr>
        </w:div>
        <w:div w:id="1784766532">
          <w:marLeft w:val="446"/>
          <w:marRight w:val="0"/>
          <w:marTop w:val="86"/>
          <w:marBottom w:val="0"/>
          <w:divBdr>
            <w:top w:val="none" w:sz="0" w:space="0" w:color="auto"/>
            <w:left w:val="none" w:sz="0" w:space="0" w:color="auto"/>
            <w:bottom w:val="none" w:sz="0" w:space="0" w:color="auto"/>
            <w:right w:val="none" w:sz="0" w:space="0" w:color="auto"/>
          </w:divBdr>
        </w:div>
        <w:div w:id="1939017682">
          <w:marLeft w:val="446"/>
          <w:marRight w:val="0"/>
          <w:marTop w:val="86"/>
          <w:marBottom w:val="0"/>
          <w:divBdr>
            <w:top w:val="none" w:sz="0" w:space="0" w:color="auto"/>
            <w:left w:val="none" w:sz="0" w:space="0" w:color="auto"/>
            <w:bottom w:val="none" w:sz="0" w:space="0" w:color="auto"/>
            <w:right w:val="none" w:sz="0" w:space="0" w:color="auto"/>
          </w:divBdr>
        </w:div>
      </w:divsChild>
    </w:div>
    <w:div w:id="1134830100">
      <w:bodyDiv w:val="1"/>
      <w:marLeft w:val="0"/>
      <w:marRight w:val="0"/>
      <w:marTop w:val="0"/>
      <w:marBottom w:val="0"/>
      <w:divBdr>
        <w:top w:val="none" w:sz="0" w:space="0" w:color="auto"/>
        <w:left w:val="none" w:sz="0" w:space="0" w:color="auto"/>
        <w:bottom w:val="none" w:sz="0" w:space="0" w:color="auto"/>
        <w:right w:val="none" w:sz="0" w:space="0" w:color="auto"/>
      </w:divBdr>
      <w:divsChild>
        <w:div w:id="394207760">
          <w:marLeft w:val="0"/>
          <w:marRight w:val="0"/>
          <w:marTop w:val="34"/>
          <w:marBottom w:val="34"/>
          <w:divBdr>
            <w:top w:val="none" w:sz="0" w:space="0" w:color="auto"/>
            <w:left w:val="none" w:sz="0" w:space="0" w:color="auto"/>
            <w:bottom w:val="none" w:sz="0" w:space="0" w:color="auto"/>
            <w:right w:val="none" w:sz="0" w:space="0" w:color="auto"/>
          </w:divBdr>
        </w:div>
      </w:divsChild>
    </w:div>
    <w:div w:id="1138836166">
      <w:bodyDiv w:val="1"/>
      <w:marLeft w:val="0"/>
      <w:marRight w:val="0"/>
      <w:marTop w:val="0"/>
      <w:marBottom w:val="0"/>
      <w:divBdr>
        <w:top w:val="none" w:sz="0" w:space="0" w:color="auto"/>
        <w:left w:val="none" w:sz="0" w:space="0" w:color="auto"/>
        <w:bottom w:val="none" w:sz="0" w:space="0" w:color="auto"/>
        <w:right w:val="none" w:sz="0" w:space="0" w:color="auto"/>
      </w:divBdr>
      <w:divsChild>
        <w:div w:id="642193531">
          <w:marLeft w:val="446"/>
          <w:marRight w:val="0"/>
          <w:marTop w:val="86"/>
          <w:marBottom w:val="0"/>
          <w:divBdr>
            <w:top w:val="none" w:sz="0" w:space="0" w:color="auto"/>
            <w:left w:val="none" w:sz="0" w:space="0" w:color="auto"/>
            <w:bottom w:val="none" w:sz="0" w:space="0" w:color="auto"/>
            <w:right w:val="none" w:sz="0" w:space="0" w:color="auto"/>
          </w:divBdr>
        </w:div>
        <w:div w:id="862399949">
          <w:marLeft w:val="446"/>
          <w:marRight w:val="0"/>
          <w:marTop w:val="86"/>
          <w:marBottom w:val="0"/>
          <w:divBdr>
            <w:top w:val="none" w:sz="0" w:space="0" w:color="auto"/>
            <w:left w:val="none" w:sz="0" w:space="0" w:color="auto"/>
            <w:bottom w:val="none" w:sz="0" w:space="0" w:color="auto"/>
            <w:right w:val="none" w:sz="0" w:space="0" w:color="auto"/>
          </w:divBdr>
        </w:div>
        <w:div w:id="2098626428">
          <w:marLeft w:val="446"/>
          <w:marRight w:val="0"/>
          <w:marTop w:val="86"/>
          <w:marBottom w:val="0"/>
          <w:divBdr>
            <w:top w:val="none" w:sz="0" w:space="0" w:color="auto"/>
            <w:left w:val="none" w:sz="0" w:space="0" w:color="auto"/>
            <w:bottom w:val="none" w:sz="0" w:space="0" w:color="auto"/>
            <w:right w:val="none" w:sz="0" w:space="0" w:color="auto"/>
          </w:divBdr>
        </w:div>
      </w:divsChild>
    </w:div>
    <w:div w:id="1141535228">
      <w:bodyDiv w:val="1"/>
      <w:marLeft w:val="0"/>
      <w:marRight w:val="0"/>
      <w:marTop w:val="0"/>
      <w:marBottom w:val="0"/>
      <w:divBdr>
        <w:top w:val="none" w:sz="0" w:space="0" w:color="auto"/>
        <w:left w:val="none" w:sz="0" w:space="0" w:color="auto"/>
        <w:bottom w:val="none" w:sz="0" w:space="0" w:color="auto"/>
        <w:right w:val="none" w:sz="0" w:space="0" w:color="auto"/>
      </w:divBdr>
    </w:div>
    <w:div w:id="1151487243">
      <w:bodyDiv w:val="1"/>
      <w:marLeft w:val="0"/>
      <w:marRight w:val="0"/>
      <w:marTop w:val="0"/>
      <w:marBottom w:val="0"/>
      <w:divBdr>
        <w:top w:val="none" w:sz="0" w:space="0" w:color="auto"/>
        <w:left w:val="none" w:sz="0" w:space="0" w:color="auto"/>
        <w:bottom w:val="none" w:sz="0" w:space="0" w:color="auto"/>
        <w:right w:val="none" w:sz="0" w:space="0" w:color="auto"/>
      </w:divBdr>
      <w:divsChild>
        <w:div w:id="212084616">
          <w:marLeft w:val="0"/>
          <w:marRight w:val="0"/>
          <w:marTop w:val="0"/>
          <w:marBottom w:val="0"/>
          <w:divBdr>
            <w:top w:val="none" w:sz="0" w:space="0" w:color="auto"/>
            <w:left w:val="none" w:sz="0" w:space="0" w:color="auto"/>
            <w:bottom w:val="none" w:sz="0" w:space="0" w:color="auto"/>
            <w:right w:val="none" w:sz="0" w:space="0" w:color="auto"/>
          </w:divBdr>
          <w:divsChild>
            <w:div w:id="196433416">
              <w:marLeft w:val="0"/>
              <w:marRight w:val="0"/>
              <w:marTop w:val="0"/>
              <w:marBottom w:val="0"/>
              <w:divBdr>
                <w:top w:val="none" w:sz="0" w:space="0" w:color="auto"/>
                <w:left w:val="none" w:sz="0" w:space="0" w:color="auto"/>
                <w:bottom w:val="none" w:sz="0" w:space="0" w:color="auto"/>
                <w:right w:val="none" w:sz="0" w:space="0" w:color="auto"/>
              </w:divBdr>
              <w:divsChild>
                <w:div w:id="189029353">
                  <w:marLeft w:val="0"/>
                  <w:marRight w:val="0"/>
                  <w:marTop w:val="0"/>
                  <w:marBottom w:val="0"/>
                  <w:divBdr>
                    <w:top w:val="none" w:sz="0" w:space="0" w:color="auto"/>
                    <w:left w:val="none" w:sz="0" w:space="0" w:color="auto"/>
                    <w:bottom w:val="none" w:sz="0" w:space="0" w:color="auto"/>
                    <w:right w:val="none" w:sz="0" w:space="0" w:color="auto"/>
                  </w:divBdr>
                  <w:divsChild>
                    <w:div w:id="601230605">
                      <w:marLeft w:val="0"/>
                      <w:marRight w:val="0"/>
                      <w:marTop w:val="0"/>
                      <w:marBottom w:val="0"/>
                      <w:divBdr>
                        <w:top w:val="none" w:sz="0" w:space="0" w:color="auto"/>
                        <w:left w:val="none" w:sz="0" w:space="0" w:color="auto"/>
                        <w:bottom w:val="none" w:sz="0" w:space="0" w:color="auto"/>
                        <w:right w:val="none" w:sz="0" w:space="0" w:color="auto"/>
                      </w:divBdr>
                      <w:divsChild>
                        <w:div w:id="1732999298">
                          <w:marLeft w:val="0"/>
                          <w:marRight w:val="0"/>
                          <w:marTop w:val="0"/>
                          <w:marBottom w:val="0"/>
                          <w:divBdr>
                            <w:top w:val="none" w:sz="0" w:space="0" w:color="auto"/>
                            <w:left w:val="none" w:sz="0" w:space="0" w:color="auto"/>
                            <w:bottom w:val="none" w:sz="0" w:space="0" w:color="auto"/>
                            <w:right w:val="none" w:sz="0" w:space="0" w:color="auto"/>
                          </w:divBdr>
                          <w:divsChild>
                            <w:div w:id="1819763792">
                              <w:marLeft w:val="0"/>
                              <w:marRight w:val="0"/>
                              <w:marTop w:val="0"/>
                              <w:marBottom w:val="0"/>
                              <w:divBdr>
                                <w:top w:val="none" w:sz="0" w:space="0" w:color="auto"/>
                                <w:left w:val="none" w:sz="0" w:space="0" w:color="auto"/>
                                <w:bottom w:val="none" w:sz="0" w:space="0" w:color="auto"/>
                                <w:right w:val="none" w:sz="0" w:space="0" w:color="auto"/>
                              </w:divBdr>
                              <w:divsChild>
                                <w:div w:id="1064256033">
                                  <w:marLeft w:val="0"/>
                                  <w:marRight w:val="0"/>
                                  <w:marTop w:val="0"/>
                                  <w:marBottom w:val="0"/>
                                  <w:divBdr>
                                    <w:top w:val="none" w:sz="0" w:space="0" w:color="auto"/>
                                    <w:left w:val="none" w:sz="0" w:space="0" w:color="auto"/>
                                    <w:bottom w:val="none" w:sz="0" w:space="0" w:color="auto"/>
                                    <w:right w:val="none" w:sz="0" w:space="0" w:color="auto"/>
                                  </w:divBdr>
                                  <w:divsChild>
                                    <w:div w:id="760416075">
                                      <w:marLeft w:val="0"/>
                                      <w:marRight w:val="0"/>
                                      <w:marTop w:val="0"/>
                                      <w:marBottom w:val="0"/>
                                      <w:divBdr>
                                        <w:top w:val="none" w:sz="0" w:space="0" w:color="auto"/>
                                        <w:left w:val="none" w:sz="0" w:space="0" w:color="auto"/>
                                        <w:bottom w:val="none" w:sz="0" w:space="0" w:color="auto"/>
                                        <w:right w:val="none" w:sz="0" w:space="0" w:color="auto"/>
                                      </w:divBdr>
                                      <w:divsChild>
                                        <w:div w:id="2018460893">
                                          <w:marLeft w:val="0"/>
                                          <w:marRight w:val="0"/>
                                          <w:marTop w:val="0"/>
                                          <w:marBottom w:val="0"/>
                                          <w:divBdr>
                                            <w:top w:val="none" w:sz="0" w:space="0" w:color="auto"/>
                                            <w:left w:val="none" w:sz="0" w:space="0" w:color="auto"/>
                                            <w:bottom w:val="none" w:sz="0" w:space="0" w:color="auto"/>
                                            <w:right w:val="none" w:sz="0" w:space="0" w:color="auto"/>
                                          </w:divBdr>
                                          <w:divsChild>
                                            <w:div w:id="1719157756">
                                              <w:marLeft w:val="0"/>
                                              <w:marRight w:val="0"/>
                                              <w:marTop w:val="0"/>
                                              <w:marBottom w:val="0"/>
                                              <w:divBdr>
                                                <w:top w:val="none" w:sz="0" w:space="0" w:color="auto"/>
                                                <w:left w:val="none" w:sz="0" w:space="0" w:color="auto"/>
                                                <w:bottom w:val="none" w:sz="0" w:space="0" w:color="auto"/>
                                                <w:right w:val="none" w:sz="0" w:space="0" w:color="auto"/>
                                              </w:divBdr>
                                              <w:divsChild>
                                                <w:div w:id="1842891251">
                                                  <w:marLeft w:val="0"/>
                                                  <w:marRight w:val="0"/>
                                                  <w:marTop w:val="0"/>
                                                  <w:marBottom w:val="0"/>
                                                  <w:divBdr>
                                                    <w:top w:val="none" w:sz="0" w:space="0" w:color="auto"/>
                                                    <w:left w:val="none" w:sz="0" w:space="0" w:color="auto"/>
                                                    <w:bottom w:val="none" w:sz="0" w:space="0" w:color="auto"/>
                                                    <w:right w:val="none" w:sz="0" w:space="0" w:color="auto"/>
                                                  </w:divBdr>
                                                  <w:divsChild>
                                                    <w:div w:id="1388380909">
                                                      <w:marLeft w:val="0"/>
                                                      <w:marRight w:val="0"/>
                                                      <w:marTop w:val="0"/>
                                                      <w:marBottom w:val="0"/>
                                                      <w:divBdr>
                                                        <w:top w:val="none" w:sz="0" w:space="0" w:color="auto"/>
                                                        <w:left w:val="none" w:sz="0" w:space="0" w:color="auto"/>
                                                        <w:bottom w:val="none" w:sz="0" w:space="0" w:color="auto"/>
                                                        <w:right w:val="none" w:sz="0" w:space="0" w:color="auto"/>
                                                      </w:divBdr>
                                                      <w:divsChild>
                                                        <w:div w:id="1076367994">
                                                          <w:marLeft w:val="0"/>
                                                          <w:marRight w:val="0"/>
                                                          <w:marTop w:val="0"/>
                                                          <w:marBottom w:val="0"/>
                                                          <w:divBdr>
                                                            <w:top w:val="none" w:sz="0" w:space="0" w:color="auto"/>
                                                            <w:left w:val="none" w:sz="0" w:space="0" w:color="auto"/>
                                                            <w:bottom w:val="none" w:sz="0" w:space="0" w:color="auto"/>
                                                            <w:right w:val="none" w:sz="0" w:space="0" w:color="auto"/>
                                                          </w:divBdr>
                                                          <w:divsChild>
                                                            <w:div w:id="575550754">
                                                              <w:marLeft w:val="0"/>
                                                              <w:marRight w:val="0"/>
                                                              <w:marTop w:val="0"/>
                                                              <w:marBottom w:val="0"/>
                                                              <w:divBdr>
                                                                <w:top w:val="none" w:sz="0" w:space="0" w:color="auto"/>
                                                                <w:left w:val="none" w:sz="0" w:space="0" w:color="auto"/>
                                                                <w:bottom w:val="none" w:sz="0" w:space="0" w:color="auto"/>
                                                                <w:right w:val="none" w:sz="0" w:space="0" w:color="auto"/>
                                                              </w:divBdr>
                                                              <w:divsChild>
                                                                <w:div w:id="1915889617">
                                                                  <w:marLeft w:val="0"/>
                                                                  <w:marRight w:val="0"/>
                                                                  <w:marTop w:val="0"/>
                                                                  <w:marBottom w:val="0"/>
                                                                  <w:divBdr>
                                                                    <w:top w:val="none" w:sz="0" w:space="0" w:color="auto"/>
                                                                    <w:left w:val="none" w:sz="0" w:space="0" w:color="auto"/>
                                                                    <w:bottom w:val="none" w:sz="0" w:space="0" w:color="auto"/>
                                                                    <w:right w:val="none" w:sz="0" w:space="0" w:color="auto"/>
                                                                  </w:divBdr>
                                                                  <w:divsChild>
                                                                    <w:div w:id="1341540780">
                                                                      <w:marLeft w:val="0"/>
                                                                      <w:marRight w:val="0"/>
                                                                      <w:marTop w:val="0"/>
                                                                      <w:marBottom w:val="0"/>
                                                                      <w:divBdr>
                                                                        <w:top w:val="none" w:sz="0" w:space="0" w:color="auto"/>
                                                                        <w:left w:val="none" w:sz="0" w:space="0" w:color="auto"/>
                                                                        <w:bottom w:val="none" w:sz="0" w:space="0" w:color="auto"/>
                                                                        <w:right w:val="none" w:sz="0" w:space="0" w:color="auto"/>
                                                                      </w:divBdr>
                                                                      <w:divsChild>
                                                                        <w:div w:id="1694381820">
                                                                          <w:marLeft w:val="0"/>
                                                                          <w:marRight w:val="0"/>
                                                                          <w:marTop w:val="0"/>
                                                                          <w:marBottom w:val="0"/>
                                                                          <w:divBdr>
                                                                            <w:top w:val="none" w:sz="0" w:space="0" w:color="auto"/>
                                                                            <w:left w:val="none" w:sz="0" w:space="0" w:color="auto"/>
                                                                            <w:bottom w:val="none" w:sz="0" w:space="0" w:color="auto"/>
                                                                            <w:right w:val="none" w:sz="0" w:space="0" w:color="auto"/>
                                                                          </w:divBdr>
                                                                          <w:divsChild>
                                                                            <w:div w:id="335183689">
                                                                              <w:marLeft w:val="0"/>
                                                                              <w:marRight w:val="0"/>
                                                                              <w:marTop w:val="0"/>
                                                                              <w:marBottom w:val="0"/>
                                                                              <w:divBdr>
                                                                                <w:top w:val="none" w:sz="0" w:space="0" w:color="auto"/>
                                                                                <w:left w:val="none" w:sz="0" w:space="0" w:color="auto"/>
                                                                                <w:bottom w:val="none" w:sz="0" w:space="0" w:color="auto"/>
                                                                                <w:right w:val="none" w:sz="0" w:space="0" w:color="auto"/>
                                                                              </w:divBdr>
                                                                              <w:divsChild>
                                                                                <w:div w:id="2106222457">
                                                                                  <w:marLeft w:val="0"/>
                                                                                  <w:marRight w:val="0"/>
                                                                                  <w:marTop w:val="0"/>
                                                                                  <w:marBottom w:val="0"/>
                                                                                  <w:divBdr>
                                                                                    <w:top w:val="none" w:sz="0" w:space="0" w:color="auto"/>
                                                                                    <w:left w:val="none" w:sz="0" w:space="0" w:color="auto"/>
                                                                                    <w:bottom w:val="none" w:sz="0" w:space="0" w:color="auto"/>
                                                                                    <w:right w:val="none" w:sz="0" w:space="0" w:color="auto"/>
                                                                                  </w:divBdr>
                                                                                  <w:divsChild>
                                                                                    <w:div w:id="374358417">
                                                                                      <w:marLeft w:val="0"/>
                                                                                      <w:marRight w:val="0"/>
                                                                                      <w:marTop w:val="0"/>
                                                                                      <w:marBottom w:val="0"/>
                                                                                      <w:divBdr>
                                                                                        <w:top w:val="none" w:sz="0" w:space="0" w:color="auto"/>
                                                                                        <w:left w:val="none" w:sz="0" w:space="0" w:color="auto"/>
                                                                                        <w:bottom w:val="none" w:sz="0" w:space="0" w:color="auto"/>
                                                                                        <w:right w:val="none" w:sz="0" w:space="0" w:color="auto"/>
                                                                                      </w:divBdr>
                                                                                      <w:divsChild>
                                                                                        <w:div w:id="1370910070">
                                                                                          <w:marLeft w:val="0"/>
                                                                                          <w:marRight w:val="0"/>
                                                                                          <w:marTop w:val="0"/>
                                                                                          <w:marBottom w:val="0"/>
                                                                                          <w:divBdr>
                                                                                            <w:top w:val="none" w:sz="0" w:space="0" w:color="auto"/>
                                                                                            <w:left w:val="none" w:sz="0" w:space="0" w:color="auto"/>
                                                                                            <w:bottom w:val="none" w:sz="0" w:space="0" w:color="auto"/>
                                                                                            <w:right w:val="none" w:sz="0" w:space="0" w:color="auto"/>
                                                                                          </w:divBdr>
                                                                                          <w:divsChild>
                                                                                            <w:div w:id="1305813265">
                                                                                              <w:marLeft w:val="0"/>
                                                                                              <w:marRight w:val="0"/>
                                                                                              <w:marTop w:val="0"/>
                                                                                              <w:marBottom w:val="0"/>
                                                                                              <w:divBdr>
                                                                                                <w:top w:val="none" w:sz="0" w:space="0" w:color="auto"/>
                                                                                                <w:left w:val="none" w:sz="0" w:space="0" w:color="auto"/>
                                                                                                <w:bottom w:val="none" w:sz="0" w:space="0" w:color="auto"/>
                                                                                                <w:right w:val="none" w:sz="0" w:space="0" w:color="auto"/>
                                                                                              </w:divBdr>
                                                                                              <w:divsChild>
                                                                                                <w:div w:id="1333685133">
                                                                                                  <w:marLeft w:val="0"/>
                                                                                                  <w:marRight w:val="0"/>
                                                                                                  <w:marTop w:val="0"/>
                                                                                                  <w:marBottom w:val="0"/>
                                                                                                  <w:divBdr>
                                                                                                    <w:top w:val="none" w:sz="0" w:space="0" w:color="auto"/>
                                                                                                    <w:left w:val="none" w:sz="0" w:space="0" w:color="auto"/>
                                                                                                    <w:bottom w:val="none" w:sz="0" w:space="0" w:color="auto"/>
                                                                                                    <w:right w:val="none" w:sz="0" w:space="0" w:color="auto"/>
                                                                                                  </w:divBdr>
                                                                                                  <w:divsChild>
                                                                                                    <w:div w:id="945884561">
                                                                                                      <w:marLeft w:val="0"/>
                                                                                                      <w:marRight w:val="0"/>
                                                                                                      <w:marTop w:val="0"/>
                                                                                                      <w:marBottom w:val="0"/>
                                                                                                      <w:divBdr>
                                                                                                        <w:top w:val="none" w:sz="0" w:space="0" w:color="auto"/>
                                                                                                        <w:left w:val="none" w:sz="0" w:space="0" w:color="auto"/>
                                                                                                        <w:bottom w:val="none" w:sz="0" w:space="0" w:color="auto"/>
                                                                                                        <w:right w:val="none" w:sz="0" w:space="0" w:color="auto"/>
                                                                                                      </w:divBdr>
                                                                                                      <w:divsChild>
                                                                                                        <w:div w:id="1075084963">
                                                                                                          <w:marLeft w:val="0"/>
                                                                                                          <w:marRight w:val="0"/>
                                                                                                          <w:marTop w:val="0"/>
                                                                                                          <w:marBottom w:val="0"/>
                                                                                                          <w:divBdr>
                                                                                                            <w:top w:val="none" w:sz="0" w:space="0" w:color="auto"/>
                                                                                                            <w:left w:val="none" w:sz="0" w:space="0" w:color="auto"/>
                                                                                                            <w:bottom w:val="none" w:sz="0" w:space="0" w:color="auto"/>
                                                                                                            <w:right w:val="none" w:sz="0" w:space="0" w:color="auto"/>
                                                                                                          </w:divBdr>
                                                                                                          <w:divsChild>
                                                                                                            <w:div w:id="1554464101">
                                                                                                              <w:marLeft w:val="0"/>
                                                                                                              <w:marRight w:val="0"/>
                                                                                                              <w:marTop w:val="0"/>
                                                                                                              <w:marBottom w:val="0"/>
                                                                                                              <w:divBdr>
                                                                                                                <w:top w:val="none" w:sz="0" w:space="0" w:color="auto"/>
                                                                                                                <w:left w:val="none" w:sz="0" w:space="0" w:color="auto"/>
                                                                                                                <w:bottom w:val="none" w:sz="0" w:space="0" w:color="auto"/>
                                                                                                                <w:right w:val="none" w:sz="0" w:space="0" w:color="auto"/>
                                                                                                              </w:divBdr>
                                                                                                              <w:divsChild>
                                                                                                                <w:div w:id="1303845240">
                                                                                                                  <w:marLeft w:val="0"/>
                                                                                                                  <w:marRight w:val="0"/>
                                                                                                                  <w:marTop w:val="0"/>
                                                                                                                  <w:marBottom w:val="0"/>
                                                                                                                  <w:divBdr>
                                                                                                                    <w:top w:val="none" w:sz="0" w:space="0" w:color="auto"/>
                                                                                                                    <w:left w:val="none" w:sz="0" w:space="0" w:color="auto"/>
                                                                                                                    <w:bottom w:val="none" w:sz="0" w:space="0" w:color="auto"/>
                                                                                                                    <w:right w:val="none" w:sz="0" w:space="0" w:color="auto"/>
                                                                                                                  </w:divBdr>
                                                                                                                  <w:divsChild>
                                                                                                                    <w:div w:id="613557092">
                                                                                                                      <w:marLeft w:val="0"/>
                                                                                                                      <w:marRight w:val="0"/>
                                                                                                                      <w:marTop w:val="0"/>
                                                                                                                      <w:marBottom w:val="0"/>
                                                                                                                      <w:divBdr>
                                                                                                                        <w:top w:val="none" w:sz="0" w:space="0" w:color="auto"/>
                                                                                                                        <w:left w:val="none" w:sz="0" w:space="0" w:color="auto"/>
                                                                                                                        <w:bottom w:val="none" w:sz="0" w:space="0" w:color="auto"/>
                                                                                                                        <w:right w:val="none" w:sz="0" w:space="0" w:color="auto"/>
                                                                                                                      </w:divBdr>
                                                                                                                      <w:divsChild>
                                                                                                                        <w:div w:id="1450394266">
                                                                                                                          <w:marLeft w:val="0"/>
                                                                                                                          <w:marRight w:val="0"/>
                                                                                                                          <w:marTop w:val="0"/>
                                                                                                                          <w:marBottom w:val="0"/>
                                                                                                                          <w:divBdr>
                                                                                                                            <w:top w:val="none" w:sz="0" w:space="0" w:color="auto"/>
                                                                                                                            <w:left w:val="none" w:sz="0" w:space="0" w:color="auto"/>
                                                                                                                            <w:bottom w:val="none" w:sz="0" w:space="0" w:color="auto"/>
                                                                                                                            <w:right w:val="none" w:sz="0" w:space="0" w:color="auto"/>
                                                                                                                          </w:divBdr>
                                                                                                                          <w:divsChild>
                                                                                                                            <w:div w:id="243414387">
                                                                                                                              <w:marLeft w:val="0"/>
                                                                                                                              <w:marRight w:val="0"/>
                                                                                                                              <w:marTop w:val="0"/>
                                                                                                                              <w:marBottom w:val="0"/>
                                                                                                                              <w:divBdr>
                                                                                                                                <w:top w:val="none" w:sz="0" w:space="0" w:color="auto"/>
                                                                                                                                <w:left w:val="none" w:sz="0" w:space="0" w:color="auto"/>
                                                                                                                                <w:bottom w:val="none" w:sz="0" w:space="0" w:color="auto"/>
                                                                                                                                <w:right w:val="none" w:sz="0" w:space="0" w:color="auto"/>
                                                                                                                              </w:divBdr>
                                                                                                                            </w:div>
                                                                                                                            <w:div w:id="671563609">
                                                                                                                              <w:marLeft w:val="0"/>
                                                                                                                              <w:marRight w:val="0"/>
                                                                                                                              <w:marTop w:val="0"/>
                                                                                                                              <w:marBottom w:val="0"/>
                                                                                                                              <w:divBdr>
                                                                                                                                <w:top w:val="none" w:sz="0" w:space="0" w:color="auto"/>
                                                                                                                                <w:left w:val="none" w:sz="0" w:space="0" w:color="auto"/>
                                                                                                                                <w:bottom w:val="none" w:sz="0" w:space="0" w:color="auto"/>
                                                                                                                                <w:right w:val="none" w:sz="0" w:space="0" w:color="auto"/>
                                                                                                                              </w:divBdr>
                                                                                                                              <w:divsChild>
                                                                                                                                <w:div w:id="1303460630">
                                                                                                                                  <w:marLeft w:val="0"/>
                                                                                                                                  <w:marRight w:val="0"/>
                                                                                                                                  <w:marTop w:val="0"/>
                                                                                                                                  <w:marBottom w:val="0"/>
                                                                                                                                  <w:divBdr>
                                                                                                                                    <w:top w:val="none" w:sz="0" w:space="0" w:color="auto"/>
                                                                                                                                    <w:left w:val="none" w:sz="0" w:space="0" w:color="auto"/>
                                                                                                                                    <w:bottom w:val="none" w:sz="0" w:space="0" w:color="auto"/>
                                                                                                                                    <w:right w:val="none" w:sz="0" w:space="0" w:color="auto"/>
                                                                                                                                  </w:divBdr>
                                                                                                                                  <w:divsChild>
                                                                                                                                    <w:div w:id="197737872">
                                                                                                                                      <w:marLeft w:val="0"/>
                                                                                                                                      <w:marRight w:val="0"/>
                                                                                                                                      <w:marTop w:val="0"/>
                                                                                                                                      <w:marBottom w:val="0"/>
                                                                                                                                      <w:divBdr>
                                                                                                                                        <w:top w:val="none" w:sz="0" w:space="0" w:color="auto"/>
                                                                                                                                        <w:left w:val="none" w:sz="0" w:space="0" w:color="auto"/>
                                                                                                                                        <w:bottom w:val="none" w:sz="0" w:space="0" w:color="auto"/>
                                                                                                                                        <w:right w:val="none" w:sz="0" w:space="0" w:color="auto"/>
                                                                                                                                      </w:divBdr>
                                                                                                                                      <w:divsChild>
                                                                                                                                        <w:div w:id="404300710">
                                                                                                                                          <w:marLeft w:val="0"/>
                                                                                                                                          <w:marRight w:val="0"/>
                                                                                                                                          <w:marTop w:val="0"/>
                                                                                                                                          <w:marBottom w:val="0"/>
                                                                                                                                          <w:divBdr>
                                                                                                                                            <w:top w:val="none" w:sz="0" w:space="0" w:color="auto"/>
                                                                                                                                            <w:left w:val="none" w:sz="0" w:space="0" w:color="auto"/>
                                                                                                                                            <w:bottom w:val="none" w:sz="0" w:space="0" w:color="auto"/>
                                                                                                                                            <w:right w:val="none" w:sz="0" w:space="0" w:color="auto"/>
                                                                                                                                          </w:divBdr>
                                                                                                                                          <w:divsChild>
                                                                                                                                            <w:div w:id="1014303881">
                                                                                                                                              <w:marLeft w:val="0"/>
                                                                                                                                              <w:marRight w:val="0"/>
                                                                                                                                              <w:marTop w:val="0"/>
                                                                                                                                              <w:marBottom w:val="0"/>
                                                                                                                                              <w:divBdr>
                                                                                                                                                <w:top w:val="none" w:sz="0" w:space="0" w:color="auto"/>
                                                                                                                                                <w:left w:val="none" w:sz="0" w:space="0" w:color="auto"/>
                                                                                                                                                <w:bottom w:val="none" w:sz="0" w:space="0" w:color="auto"/>
                                                                                                                                                <w:right w:val="none" w:sz="0" w:space="0" w:color="auto"/>
                                                                                                                                              </w:divBdr>
                                                                                                                                              <w:divsChild>
                                                                                                                                                <w:div w:id="1411999716">
                                                                                                                                                  <w:marLeft w:val="0"/>
                                                                                                                                                  <w:marRight w:val="0"/>
                                                                                                                                                  <w:marTop w:val="0"/>
                                                                                                                                                  <w:marBottom w:val="0"/>
                                                                                                                                                  <w:divBdr>
                                                                                                                                                    <w:top w:val="none" w:sz="0" w:space="0" w:color="auto"/>
                                                                                                                                                    <w:left w:val="none" w:sz="0" w:space="0" w:color="auto"/>
                                                                                                                                                    <w:bottom w:val="none" w:sz="0" w:space="0" w:color="auto"/>
                                                                                                                                                    <w:right w:val="none" w:sz="0" w:space="0" w:color="auto"/>
                                                                                                                                                  </w:divBdr>
                                                                                                                                                </w:div>
                                                                                                                                                <w:div w:id="1567763506">
                                                                                                                                                  <w:marLeft w:val="0"/>
                                                                                                                                                  <w:marRight w:val="0"/>
                                                                                                                                                  <w:marTop w:val="0"/>
                                                                                                                                                  <w:marBottom w:val="0"/>
                                                                                                                                                  <w:divBdr>
                                                                                                                                                    <w:top w:val="none" w:sz="0" w:space="0" w:color="auto"/>
                                                                                                                                                    <w:left w:val="none" w:sz="0" w:space="0" w:color="auto"/>
                                                                                                                                                    <w:bottom w:val="none" w:sz="0" w:space="0" w:color="auto"/>
                                                                                                                                                    <w:right w:val="none" w:sz="0" w:space="0" w:color="auto"/>
                                                                                                                                                  </w:divBdr>
                                                                                                                                                  <w:divsChild>
                                                                                                                                                    <w:div w:id="29694569">
                                                                                                                                                      <w:marLeft w:val="0"/>
                                                                                                                                                      <w:marRight w:val="0"/>
                                                                                                                                                      <w:marTop w:val="0"/>
                                                                                                                                                      <w:marBottom w:val="0"/>
                                                                                                                                                      <w:divBdr>
                                                                                                                                                        <w:top w:val="none" w:sz="0" w:space="0" w:color="auto"/>
                                                                                                                                                        <w:left w:val="none" w:sz="0" w:space="0" w:color="auto"/>
                                                                                                                                                        <w:bottom w:val="none" w:sz="0" w:space="0" w:color="auto"/>
                                                                                                                                                        <w:right w:val="none" w:sz="0" w:space="0" w:color="auto"/>
                                                                                                                                                      </w:divBdr>
                                                                                                                                                      <w:divsChild>
                                                                                                                                                        <w:div w:id="659038121">
                                                                                                                                                          <w:marLeft w:val="0"/>
                                                                                                                                                          <w:marRight w:val="0"/>
                                                                                                                                                          <w:marTop w:val="0"/>
                                                                                                                                                          <w:marBottom w:val="0"/>
                                                                                                                                                          <w:divBdr>
                                                                                                                                                            <w:top w:val="none" w:sz="0" w:space="0" w:color="auto"/>
                                                                                                                                                            <w:left w:val="none" w:sz="0" w:space="0" w:color="auto"/>
                                                                                                                                                            <w:bottom w:val="none" w:sz="0" w:space="0" w:color="auto"/>
                                                                                                                                                            <w:right w:val="none" w:sz="0" w:space="0" w:color="auto"/>
                                                                                                                                                          </w:divBdr>
                                                                                                                                                          <w:divsChild>
                                                                                                                                                            <w:div w:id="2131898800">
                                                                                                                                                              <w:marLeft w:val="0"/>
                                                                                                                                                              <w:marRight w:val="0"/>
                                                                                                                                                              <w:marTop w:val="0"/>
                                                                                                                                                              <w:marBottom w:val="0"/>
                                                                                                                                                              <w:divBdr>
                                                                                                                                                                <w:top w:val="none" w:sz="0" w:space="0" w:color="auto"/>
                                                                                                                                                                <w:left w:val="none" w:sz="0" w:space="0" w:color="auto"/>
                                                                                                                                                                <w:bottom w:val="none" w:sz="0" w:space="0" w:color="auto"/>
                                                                                                                                                                <w:right w:val="none" w:sz="0" w:space="0" w:color="auto"/>
                                                                                                                                                              </w:divBdr>
                                                                                                                                                              <w:divsChild>
                                                                                                                                                                <w:div w:id="166756109">
                                                                                                                                                                  <w:marLeft w:val="0"/>
                                                                                                                                                                  <w:marRight w:val="0"/>
                                                                                                                                                                  <w:marTop w:val="0"/>
                                                                                                                                                                  <w:marBottom w:val="0"/>
                                                                                                                                                                  <w:divBdr>
                                                                                                                                                                    <w:top w:val="none" w:sz="0" w:space="0" w:color="auto"/>
                                                                                                                                                                    <w:left w:val="none" w:sz="0" w:space="0" w:color="auto"/>
                                                                                                                                                                    <w:bottom w:val="none" w:sz="0" w:space="0" w:color="auto"/>
                                                                                                                                                                    <w:right w:val="none" w:sz="0" w:space="0" w:color="auto"/>
                                                                                                                                                                  </w:divBdr>
                                                                                                                                                                  <w:divsChild>
                                                                                                                                                                    <w:div w:id="937055794">
                                                                                                                                                                      <w:marLeft w:val="0"/>
                                                                                                                                                                      <w:marRight w:val="0"/>
                                                                                                                                                                      <w:marTop w:val="0"/>
                                                                                                                                                                      <w:marBottom w:val="0"/>
                                                                                                                                                                      <w:divBdr>
                                                                                                                                                                        <w:top w:val="none" w:sz="0" w:space="0" w:color="auto"/>
                                                                                                                                                                        <w:left w:val="none" w:sz="0" w:space="0" w:color="auto"/>
                                                                                                                                                                        <w:bottom w:val="none" w:sz="0" w:space="0" w:color="auto"/>
                                                                                                                                                                        <w:right w:val="none" w:sz="0" w:space="0" w:color="auto"/>
                                                                                                                                                                      </w:divBdr>
                                                                                                                                                                      <w:divsChild>
                                                                                                                                                                        <w:div w:id="1879197862">
                                                                                                                                                                          <w:marLeft w:val="0"/>
                                                                                                                                                                          <w:marRight w:val="0"/>
                                                                                                                                                                          <w:marTop w:val="0"/>
                                                                                                                                                                          <w:marBottom w:val="0"/>
                                                                                                                                                                          <w:divBdr>
                                                                                                                                                                            <w:top w:val="none" w:sz="0" w:space="0" w:color="auto"/>
                                                                                                                                                                            <w:left w:val="none" w:sz="0" w:space="0" w:color="auto"/>
                                                                                                                                                                            <w:bottom w:val="none" w:sz="0" w:space="0" w:color="auto"/>
                                                                                                                                                                            <w:right w:val="none" w:sz="0" w:space="0" w:color="auto"/>
                                                                                                                                                                          </w:divBdr>
                                                                                                                                                                          <w:divsChild>
                                                                                                                                                                            <w:div w:id="623007030">
                                                                                                                                                                              <w:marLeft w:val="0"/>
                                                                                                                                                                              <w:marRight w:val="0"/>
                                                                                                                                                                              <w:marTop w:val="0"/>
                                                                                                                                                                              <w:marBottom w:val="0"/>
                                                                                                                                                                              <w:divBdr>
                                                                                                                                                                                <w:top w:val="none" w:sz="0" w:space="0" w:color="auto"/>
                                                                                                                                                                                <w:left w:val="none" w:sz="0" w:space="0" w:color="auto"/>
                                                                                                                                                                                <w:bottom w:val="none" w:sz="0" w:space="0" w:color="auto"/>
                                                                                                                                                                                <w:right w:val="none" w:sz="0" w:space="0" w:color="auto"/>
                                                                                                                                                                              </w:divBdr>
                                                                                                                                                                              <w:divsChild>
                                                                                                                                                                                <w:div w:id="582568268">
                                                                                                                                                                                  <w:marLeft w:val="0"/>
                                                                                                                                                                                  <w:marRight w:val="0"/>
                                                                                                                                                                                  <w:marTop w:val="0"/>
                                                                                                                                                                                  <w:marBottom w:val="0"/>
                                                                                                                                                                                  <w:divBdr>
                                                                                                                                                                                    <w:top w:val="none" w:sz="0" w:space="0" w:color="auto"/>
                                                                                                                                                                                    <w:left w:val="none" w:sz="0" w:space="0" w:color="auto"/>
                                                                                                                                                                                    <w:bottom w:val="none" w:sz="0" w:space="0" w:color="auto"/>
                                                                                                                                                                                    <w:right w:val="none" w:sz="0" w:space="0" w:color="auto"/>
                                                                                                                                                                                  </w:divBdr>
                                                                                                                                                                                  <w:divsChild>
                                                                                                                                                                                    <w:div w:id="169686325">
                                                                                                                                                                                      <w:marLeft w:val="0"/>
                                                                                                                                                                                      <w:marRight w:val="0"/>
                                                                                                                                                                                      <w:marTop w:val="0"/>
                                                                                                                                                                                      <w:marBottom w:val="0"/>
                                                                                                                                                                                      <w:divBdr>
                                                                                                                                                                                        <w:top w:val="none" w:sz="0" w:space="0" w:color="auto"/>
                                                                                                                                                                                        <w:left w:val="none" w:sz="0" w:space="0" w:color="auto"/>
                                                                                                                                                                                        <w:bottom w:val="none" w:sz="0" w:space="0" w:color="auto"/>
                                                                                                                                                                                        <w:right w:val="none" w:sz="0" w:space="0" w:color="auto"/>
                                                                                                                                                                                      </w:divBdr>
                                                                                                                                                                                      <w:divsChild>
                                                                                                                                                                                        <w:div w:id="1476532092">
                                                                                                                                                                                          <w:marLeft w:val="0"/>
                                                                                                                                                                                          <w:marRight w:val="0"/>
                                                                                                                                                                                          <w:marTop w:val="0"/>
                                                                                                                                                                                          <w:marBottom w:val="0"/>
                                                                                                                                                                                          <w:divBdr>
                                                                                                                                                                                            <w:top w:val="none" w:sz="0" w:space="0" w:color="auto"/>
                                                                                                                                                                                            <w:left w:val="none" w:sz="0" w:space="0" w:color="auto"/>
                                                                                                                                                                                            <w:bottom w:val="none" w:sz="0" w:space="0" w:color="auto"/>
                                                                                                                                                                                            <w:right w:val="none" w:sz="0" w:space="0" w:color="auto"/>
                                                                                                                                                                                          </w:divBdr>
                                                                                                                                                                                          <w:divsChild>
                                                                                                                                                                                            <w:div w:id="486478009">
                                                                                                                                                                                              <w:marLeft w:val="0"/>
                                                                                                                                                                                              <w:marRight w:val="0"/>
                                                                                                                                                                                              <w:marTop w:val="0"/>
                                                                                                                                                                                              <w:marBottom w:val="0"/>
                                                                                                                                                                                              <w:divBdr>
                                                                                                                                                                                                <w:top w:val="none" w:sz="0" w:space="0" w:color="auto"/>
                                                                                                                                                                                                <w:left w:val="none" w:sz="0" w:space="0" w:color="auto"/>
                                                                                                                                                                                                <w:bottom w:val="none" w:sz="0" w:space="0" w:color="auto"/>
                                                                                                                                                                                                <w:right w:val="none" w:sz="0" w:space="0" w:color="auto"/>
                                                                                                                                                                                              </w:divBdr>
                                                                                                                                                                                              <w:divsChild>
                                                                                                                                                                                                <w:div w:id="1108085668">
                                                                                                                                                                                                  <w:marLeft w:val="0"/>
                                                                                                                                                                                                  <w:marRight w:val="0"/>
                                                                                                                                                                                                  <w:marTop w:val="0"/>
                                                                                                                                                                                                  <w:marBottom w:val="0"/>
                                                                                                                                                                                                  <w:divBdr>
                                                                                                                                                                                                    <w:top w:val="none" w:sz="0" w:space="0" w:color="auto"/>
                                                                                                                                                                                                    <w:left w:val="none" w:sz="0" w:space="0" w:color="auto"/>
                                                                                                                                                                                                    <w:bottom w:val="none" w:sz="0" w:space="0" w:color="auto"/>
                                                                                                                                                                                                    <w:right w:val="none" w:sz="0" w:space="0" w:color="auto"/>
                                                                                                                                                                                                  </w:divBdr>
                                                                                                                                                                                                  <w:divsChild>
                                                                                                                                                                                                    <w:div w:id="971978305">
                                                                                                                                                                                                      <w:marLeft w:val="0"/>
                                                                                                                                                                                                      <w:marRight w:val="0"/>
                                                                                                                                                                                                      <w:marTop w:val="0"/>
                                                                                                                                                                                                      <w:marBottom w:val="0"/>
                                                                                                                                                                                                      <w:divBdr>
                                                                                                                                                                                                        <w:top w:val="none" w:sz="0" w:space="0" w:color="auto"/>
                                                                                                                                                                                                        <w:left w:val="none" w:sz="0" w:space="0" w:color="auto"/>
                                                                                                                                                                                                        <w:bottom w:val="none" w:sz="0" w:space="0" w:color="auto"/>
                                                                                                                                                                                                        <w:right w:val="none" w:sz="0" w:space="0" w:color="auto"/>
                                                                                                                                                                                                      </w:divBdr>
                                                                                                                                                                                                      <w:divsChild>
                                                                                                                                                                                                        <w:div w:id="99180312">
                                                                                                                                                                                                          <w:marLeft w:val="0"/>
                                                                                                                                                                                                          <w:marRight w:val="0"/>
                                                                                                                                                                                                          <w:marTop w:val="0"/>
                                                                                                                                                                                                          <w:marBottom w:val="0"/>
                                                                                                                                                                                                          <w:divBdr>
                                                                                                                                                                                                            <w:top w:val="none" w:sz="0" w:space="0" w:color="auto"/>
                                                                                                                                                                                                            <w:left w:val="none" w:sz="0" w:space="0" w:color="auto"/>
                                                                                                                                                                                                            <w:bottom w:val="none" w:sz="0" w:space="0" w:color="auto"/>
                                                                                                                                                                                                            <w:right w:val="none" w:sz="0" w:space="0" w:color="auto"/>
                                                                                                                                                                                                          </w:divBdr>
                                                                                                                                                                                                          <w:divsChild>
                                                                                                                                                                                                            <w:div w:id="234048060">
                                                                                                                                                                                                              <w:marLeft w:val="0"/>
                                                                                                                                                                                                              <w:marRight w:val="1"/>
                                                                                                                                                                                                              <w:marTop w:val="0"/>
                                                                                                                                                                                                              <w:marBottom w:val="0"/>
                                                                                                                                                                                                              <w:divBdr>
                                                                                                                                                                                                                <w:top w:val="none" w:sz="0" w:space="0" w:color="auto"/>
                                                                                                                                                                                                                <w:left w:val="none" w:sz="0" w:space="0" w:color="auto"/>
                                                                                                                                                                                                                <w:bottom w:val="none" w:sz="0" w:space="0" w:color="auto"/>
                                                                                                                                                                                                                <w:right w:val="none" w:sz="0" w:space="0" w:color="auto"/>
                                                                                                                                                                                                              </w:divBdr>
                                                                                                                                                                                                              <w:divsChild>
                                                                                                                                                                                                                <w:div w:id="588657941">
                                                                                                                                                                                                                  <w:marLeft w:val="0"/>
                                                                                                                                                                                                                  <w:marRight w:val="0"/>
                                                                                                                                                                                                                  <w:marTop w:val="0"/>
                                                                                                                                                                                                                  <w:marBottom w:val="0"/>
                                                                                                                                                                                                                  <w:divBdr>
                                                                                                                                                                                                                    <w:top w:val="none" w:sz="0" w:space="0" w:color="auto"/>
                                                                                                                                                                                                                    <w:left w:val="none" w:sz="0" w:space="0" w:color="auto"/>
                                                                                                                                                                                                                    <w:bottom w:val="none" w:sz="0" w:space="0" w:color="auto"/>
                                                                                                                                                                                                                    <w:right w:val="none" w:sz="0" w:space="0" w:color="auto"/>
                                                                                                                                                                                                                  </w:divBdr>
                                                                                                                                                                                                                  <w:divsChild>
                                                                                                                                                                                                                    <w:div w:id="1529413813">
                                                                                                                                                                                                                      <w:marLeft w:val="0"/>
                                                                                                                                                                                                                      <w:marRight w:val="1"/>
                                                                                                                                                                                                                      <w:marTop w:val="0"/>
                                                                                                                                                                                                                      <w:marBottom w:val="0"/>
                                                                                                                                                                                                                      <w:divBdr>
                                                                                                                                                                                                                        <w:top w:val="none" w:sz="0" w:space="0" w:color="auto"/>
                                                                                                                                                                                                                        <w:left w:val="none" w:sz="0" w:space="0" w:color="auto"/>
                                                                                                                                                                                                                        <w:bottom w:val="none" w:sz="0" w:space="0" w:color="auto"/>
                                                                                                                                                                                                                        <w:right w:val="none" w:sz="0" w:space="0" w:color="auto"/>
                                                                                                                                                                                                                      </w:divBdr>
                                                                                                                                                                                                                      <w:divsChild>
                                                                                                                                                                                                                        <w:div w:id="1829708848">
                                                                                                                                                                                                                          <w:marLeft w:val="0"/>
                                                                                                                                                                                                                          <w:marRight w:val="0"/>
                                                                                                                                                                                                                          <w:marTop w:val="0"/>
                                                                                                                                                                                                                          <w:marBottom w:val="0"/>
                                                                                                                                                                                                                          <w:divBdr>
                                                                                                                                                                                                                            <w:top w:val="none" w:sz="0" w:space="0" w:color="auto"/>
                                                                                                                                                                                                                            <w:left w:val="none" w:sz="0" w:space="0" w:color="auto"/>
                                                                                                                                                                                                                            <w:bottom w:val="none" w:sz="0" w:space="0" w:color="auto"/>
                                                                                                                                                                                                                            <w:right w:val="none" w:sz="0" w:space="0" w:color="auto"/>
                                                                                                                                                                                                                          </w:divBdr>
                                                                                                                                                                                                                          <w:divsChild>
                                                                                                                                                                                                                            <w:div w:id="594435912">
                                                                                                                                                                                                                              <w:marLeft w:val="0"/>
                                                                                                                                                                                                                              <w:marRight w:val="0"/>
                                                                                                                                                                                                                              <w:marTop w:val="0"/>
                                                                                                                                                                                                                              <w:marBottom w:val="0"/>
                                                                                                                                                                                                                              <w:divBdr>
                                                                                                                                                                                                                                <w:top w:val="none" w:sz="0" w:space="0" w:color="auto"/>
                                                                                                                                                                                                                                <w:left w:val="none" w:sz="0" w:space="0" w:color="auto"/>
                                                                                                                                                                                                                                <w:bottom w:val="none" w:sz="0" w:space="0" w:color="auto"/>
                                                                                                                                                                                                                                <w:right w:val="none" w:sz="0" w:space="0" w:color="auto"/>
                                                                                                                                                                                                                              </w:divBdr>
                                                                                                                                                                                                                              <w:divsChild>
                                                                                                                                                                                                                                <w:div w:id="1027684407">
                                                                                                                                                                                                                                  <w:marLeft w:val="0"/>
                                                                                                                                                                                                                                  <w:marRight w:val="0"/>
                                                                                                                                                                                                                                  <w:marTop w:val="120"/>
                                                                                                                                                                                                                                  <w:marBottom w:val="360"/>
                                                                                                                                                                                                                                  <w:divBdr>
                                                                                                                                                                                                                                    <w:top w:val="none" w:sz="0" w:space="0" w:color="auto"/>
                                                                                                                                                                                                                                    <w:left w:val="none" w:sz="0" w:space="0" w:color="auto"/>
                                                                                                                                                                                                                                    <w:bottom w:val="none" w:sz="0" w:space="0" w:color="auto"/>
                                                                                                                                                                                                                                    <w:right w:val="none" w:sz="0" w:space="0" w:color="auto"/>
                                                                                                                                                                                                                                  </w:divBdr>
                                                                                                                                                                                                                                  <w:divsChild>
                                                                                                                                                                                                                                    <w:div w:id="661010478">
                                                                                                                                                                                                                                      <w:marLeft w:val="0"/>
                                                                                                                                                                                                                                      <w:marRight w:val="0"/>
                                                                                                                                                                                                                                      <w:marTop w:val="0"/>
                                                                                                                                                                                                                                      <w:marBottom w:val="0"/>
                                                                                                                                                                                                                                      <w:divBdr>
                                                                                                                                                                                                                                        <w:top w:val="none" w:sz="0" w:space="0" w:color="auto"/>
                                                                                                                                                                                                                                        <w:left w:val="none" w:sz="0" w:space="0" w:color="auto"/>
                                                                                                                                                                                                                                        <w:bottom w:val="none" w:sz="0" w:space="0" w:color="auto"/>
                                                                                                                                                                                                                                        <w:right w:val="none" w:sz="0" w:space="0" w:color="auto"/>
                                                                                                                                                                                                                                      </w:divBdr>
                                                                                                                                                                                                                                    </w:div>
                                                                                                                                                                                                                                    <w:div w:id="13834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08563">
                                                                                                                                                                                                          <w:marLeft w:val="0"/>
                                                                                                                                                                                                          <w:marRight w:val="0"/>
                                                                                                                                                                                                          <w:marTop w:val="0"/>
                                                                                                                                                                                                          <w:marBottom w:val="0"/>
                                                                                                                                                                                                          <w:divBdr>
                                                                                                                                                                                                            <w:top w:val="none" w:sz="0" w:space="0" w:color="auto"/>
                                                                                                                                                                                                            <w:left w:val="none" w:sz="0" w:space="0" w:color="auto"/>
                                                                                                                                                                                                            <w:bottom w:val="none" w:sz="0" w:space="0" w:color="auto"/>
                                                                                                                                                                                                            <w:right w:val="none" w:sz="0" w:space="0" w:color="auto"/>
                                                                                                                                                                                                          </w:divBdr>
                                                                                                                                                                                                          <w:divsChild>
                                                                                                                                                                                                            <w:div w:id="12608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66850">
      <w:bodyDiv w:val="1"/>
      <w:marLeft w:val="0"/>
      <w:marRight w:val="0"/>
      <w:marTop w:val="0"/>
      <w:marBottom w:val="0"/>
      <w:divBdr>
        <w:top w:val="none" w:sz="0" w:space="0" w:color="auto"/>
        <w:left w:val="none" w:sz="0" w:space="0" w:color="auto"/>
        <w:bottom w:val="none" w:sz="0" w:space="0" w:color="auto"/>
        <w:right w:val="none" w:sz="0" w:space="0" w:color="auto"/>
      </w:divBdr>
    </w:div>
    <w:div w:id="1242177549">
      <w:bodyDiv w:val="1"/>
      <w:marLeft w:val="0"/>
      <w:marRight w:val="0"/>
      <w:marTop w:val="0"/>
      <w:marBottom w:val="0"/>
      <w:divBdr>
        <w:top w:val="none" w:sz="0" w:space="0" w:color="auto"/>
        <w:left w:val="none" w:sz="0" w:space="0" w:color="auto"/>
        <w:bottom w:val="none" w:sz="0" w:space="0" w:color="auto"/>
        <w:right w:val="none" w:sz="0" w:space="0" w:color="auto"/>
      </w:divBdr>
    </w:div>
    <w:div w:id="1248230553">
      <w:bodyDiv w:val="1"/>
      <w:marLeft w:val="0"/>
      <w:marRight w:val="0"/>
      <w:marTop w:val="0"/>
      <w:marBottom w:val="0"/>
      <w:divBdr>
        <w:top w:val="none" w:sz="0" w:space="0" w:color="auto"/>
        <w:left w:val="none" w:sz="0" w:space="0" w:color="auto"/>
        <w:bottom w:val="none" w:sz="0" w:space="0" w:color="auto"/>
        <w:right w:val="none" w:sz="0" w:space="0" w:color="auto"/>
      </w:divBdr>
    </w:div>
    <w:div w:id="1254778947">
      <w:bodyDiv w:val="1"/>
      <w:marLeft w:val="0"/>
      <w:marRight w:val="0"/>
      <w:marTop w:val="0"/>
      <w:marBottom w:val="0"/>
      <w:divBdr>
        <w:top w:val="none" w:sz="0" w:space="0" w:color="auto"/>
        <w:left w:val="none" w:sz="0" w:space="0" w:color="auto"/>
        <w:bottom w:val="none" w:sz="0" w:space="0" w:color="auto"/>
        <w:right w:val="none" w:sz="0" w:space="0" w:color="auto"/>
      </w:divBdr>
      <w:divsChild>
        <w:div w:id="1021467926">
          <w:marLeft w:val="0"/>
          <w:marRight w:val="0"/>
          <w:marTop w:val="34"/>
          <w:marBottom w:val="34"/>
          <w:divBdr>
            <w:top w:val="none" w:sz="0" w:space="0" w:color="auto"/>
            <w:left w:val="none" w:sz="0" w:space="0" w:color="auto"/>
            <w:bottom w:val="none" w:sz="0" w:space="0" w:color="auto"/>
            <w:right w:val="none" w:sz="0" w:space="0" w:color="auto"/>
          </w:divBdr>
        </w:div>
      </w:divsChild>
    </w:div>
    <w:div w:id="1267032207">
      <w:bodyDiv w:val="1"/>
      <w:marLeft w:val="0"/>
      <w:marRight w:val="0"/>
      <w:marTop w:val="0"/>
      <w:marBottom w:val="0"/>
      <w:divBdr>
        <w:top w:val="none" w:sz="0" w:space="0" w:color="auto"/>
        <w:left w:val="none" w:sz="0" w:space="0" w:color="auto"/>
        <w:bottom w:val="none" w:sz="0" w:space="0" w:color="auto"/>
        <w:right w:val="none" w:sz="0" w:space="0" w:color="auto"/>
      </w:divBdr>
    </w:div>
    <w:div w:id="1326592973">
      <w:bodyDiv w:val="1"/>
      <w:marLeft w:val="0"/>
      <w:marRight w:val="0"/>
      <w:marTop w:val="0"/>
      <w:marBottom w:val="0"/>
      <w:divBdr>
        <w:top w:val="none" w:sz="0" w:space="0" w:color="auto"/>
        <w:left w:val="none" w:sz="0" w:space="0" w:color="auto"/>
        <w:bottom w:val="none" w:sz="0" w:space="0" w:color="auto"/>
        <w:right w:val="none" w:sz="0" w:space="0" w:color="auto"/>
      </w:divBdr>
    </w:div>
    <w:div w:id="1339190530">
      <w:bodyDiv w:val="1"/>
      <w:marLeft w:val="0"/>
      <w:marRight w:val="0"/>
      <w:marTop w:val="0"/>
      <w:marBottom w:val="0"/>
      <w:divBdr>
        <w:top w:val="none" w:sz="0" w:space="0" w:color="auto"/>
        <w:left w:val="none" w:sz="0" w:space="0" w:color="auto"/>
        <w:bottom w:val="none" w:sz="0" w:space="0" w:color="auto"/>
        <w:right w:val="none" w:sz="0" w:space="0" w:color="auto"/>
      </w:divBdr>
      <w:divsChild>
        <w:div w:id="452020990">
          <w:marLeft w:val="547"/>
          <w:marRight w:val="0"/>
          <w:marTop w:val="96"/>
          <w:marBottom w:val="0"/>
          <w:divBdr>
            <w:top w:val="none" w:sz="0" w:space="0" w:color="auto"/>
            <w:left w:val="none" w:sz="0" w:space="0" w:color="auto"/>
            <w:bottom w:val="none" w:sz="0" w:space="0" w:color="auto"/>
            <w:right w:val="none" w:sz="0" w:space="0" w:color="auto"/>
          </w:divBdr>
        </w:div>
        <w:div w:id="565148900">
          <w:marLeft w:val="1166"/>
          <w:marRight w:val="0"/>
          <w:marTop w:val="96"/>
          <w:marBottom w:val="0"/>
          <w:divBdr>
            <w:top w:val="none" w:sz="0" w:space="0" w:color="auto"/>
            <w:left w:val="none" w:sz="0" w:space="0" w:color="auto"/>
            <w:bottom w:val="none" w:sz="0" w:space="0" w:color="auto"/>
            <w:right w:val="none" w:sz="0" w:space="0" w:color="auto"/>
          </w:divBdr>
        </w:div>
        <w:div w:id="750273486">
          <w:marLeft w:val="547"/>
          <w:marRight w:val="0"/>
          <w:marTop w:val="96"/>
          <w:marBottom w:val="0"/>
          <w:divBdr>
            <w:top w:val="none" w:sz="0" w:space="0" w:color="auto"/>
            <w:left w:val="none" w:sz="0" w:space="0" w:color="auto"/>
            <w:bottom w:val="none" w:sz="0" w:space="0" w:color="auto"/>
            <w:right w:val="none" w:sz="0" w:space="0" w:color="auto"/>
          </w:divBdr>
        </w:div>
        <w:div w:id="1193809145">
          <w:marLeft w:val="1166"/>
          <w:marRight w:val="0"/>
          <w:marTop w:val="96"/>
          <w:marBottom w:val="0"/>
          <w:divBdr>
            <w:top w:val="none" w:sz="0" w:space="0" w:color="auto"/>
            <w:left w:val="none" w:sz="0" w:space="0" w:color="auto"/>
            <w:bottom w:val="none" w:sz="0" w:space="0" w:color="auto"/>
            <w:right w:val="none" w:sz="0" w:space="0" w:color="auto"/>
          </w:divBdr>
        </w:div>
        <w:div w:id="1419445748">
          <w:marLeft w:val="1166"/>
          <w:marRight w:val="0"/>
          <w:marTop w:val="96"/>
          <w:marBottom w:val="0"/>
          <w:divBdr>
            <w:top w:val="none" w:sz="0" w:space="0" w:color="auto"/>
            <w:left w:val="none" w:sz="0" w:space="0" w:color="auto"/>
            <w:bottom w:val="none" w:sz="0" w:space="0" w:color="auto"/>
            <w:right w:val="none" w:sz="0" w:space="0" w:color="auto"/>
          </w:divBdr>
        </w:div>
        <w:div w:id="1766925697">
          <w:marLeft w:val="547"/>
          <w:marRight w:val="0"/>
          <w:marTop w:val="96"/>
          <w:marBottom w:val="0"/>
          <w:divBdr>
            <w:top w:val="none" w:sz="0" w:space="0" w:color="auto"/>
            <w:left w:val="none" w:sz="0" w:space="0" w:color="auto"/>
            <w:bottom w:val="none" w:sz="0" w:space="0" w:color="auto"/>
            <w:right w:val="none" w:sz="0" w:space="0" w:color="auto"/>
          </w:divBdr>
        </w:div>
        <w:div w:id="1907373203">
          <w:marLeft w:val="1166"/>
          <w:marRight w:val="0"/>
          <w:marTop w:val="96"/>
          <w:marBottom w:val="0"/>
          <w:divBdr>
            <w:top w:val="none" w:sz="0" w:space="0" w:color="auto"/>
            <w:left w:val="none" w:sz="0" w:space="0" w:color="auto"/>
            <w:bottom w:val="none" w:sz="0" w:space="0" w:color="auto"/>
            <w:right w:val="none" w:sz="0" w:space="0" w:color="auto"/>
          </w:divBdr>
        </w:div>
        <w:div w:id="2055539321">
          <w:marLeft w:val="1166"/>
          <w:marRight w:val="0"/>
          <w:marTop w:val="96"/>
          <w:marBottom w:val="0"/>
          <w:divBdr>
            <w:top w:val="none" w:sz="0" w:space="0" w:color="auto"/>
            <w:left w:val="none" w:sz="0" w:space="0" w:color="auto"/>
            <w:bottom w:val="none" w:sz="0" w:space="0" w:color="auto"/>
            <w:right w:val="none" w:sz="0" w:space="0" w:color="auto"/>
          </w:divBdr>
        </w:div>
        <w:div w:id="2085879888">
          <w:marLeft w:val="547"/>
          <w:marRight w:val="0"/>
          <w:marTop w:val="96"/>
          <w:marBottom w:val="0"/>
          <w:divBdr>
            <w:top w:val="none" w:sz="0" w:space="0" w:color="auto"/>
            <w:left w:val="none" w:sz="0" w:space="0" w:color="auto"/>
            <w:bottom w:val="none" w:sz="0" w:space="0" w:color="auto"/>
            <w:right w:val="none" w:sz="0" w:space="0" w:color="auto"/>
          </w:divBdr>
        </w:div>
      </w:divsChild>
    </w:div>
    <w:div w:id="1339424969">
      <w:bodyDiv w:val="1"/>
      <w:marLeft w:val="0"/>
      <w:marRight w:val="0"/>
      <w:marTop w:val="0"/>
      <w:marBottom w:val="0"/>
      <w:divBdr>
        <w:top w:val="none" w:sz="0" w:space="0" w:color="auto"/>
        <w:left w:val="none" w:sz="0" w:space="0" w:color="auto"/>
        <w:bottom w:val="none" w:sz="0" w:space="0" w:color="auto"/>
        <w:right w:val="none" w:sz="0" w:space="0" w:color="auto"/>
      </w:divBdr>
    </w:div>
    <w:div w:id="1360858364">
      <w:bodyDiv w:val="1"/>
      <w:marLeft w:val="0"/>
      <w:marRight w:val="0"/>
      <w:marTop w:val="0"/>
      <w:marBottom w:val="0"/>
      <w:divBdr>
        <w:top w:val="none" w:sz="0" w:space="0" w:color="auto"/>
        <w:left w:val="none" w:sz="0" w:space="0" w:color="auto"/>
        <w:bottom w:val="none" w:sz="0" w:space="0" w:color="auto"/>
        <w:right w:val="none" w:sz="0" w:space="0" w:color="auto"/>
      </w:divBdr>
    </w:div>
    <w:div w:id="1364674620">
      <w:bodyDiv w:val="1"/>
      <w:marLeft w:val="0"/>
      <w:marRight w:val="0"/>
      <w:marTop w:val="0"/>
      <w:marBottom w:val="0"/>
      <w:divBdr>
        <w:top w:val="none" w:sz="0" w:space="0" w:color="auto"/>
        <w:left w:val="none" w:sz="0" w:space="0" w:color="auto"/>
        <w:bottom w:val="none" w:sz="0" w:space="0" w:color="auto"/>
        <w:right w:val="none" w:sz="0" w:space="0" w:color="auto"/>
      </w:divBdr>
    </w:div>
    <w:div w:id="1511916975">
      <w:bodyDiv w:val="1"/>
      <w:marLeft w:val="0"/>
      <w:marRight w:val="0"/>
      <w:marTop w:val="0"/>
      <w:marBottom w:val="0"/>
      <w:divBdr>
        <w:top w:val="none" w:sz="0" w:space="0" w:color="auto"/>
        <w:left w:val="none" w:sz="0" w:space="0" w:color="auto"/>
        <w:bottom w:val="none" w:sz="0" w:space="0" w:color="auto"/>
        <w:right w:val="none" w:sz="0" w:space="0" w:color="auto"/>
      </w:divBdr>
      <w:divsChild>
        <w:div w:id="46802992">
          <w:marLeft w:val="446"/>
          <w:marRight w:val="0"/>
          <w:marTop w:val="0"/>
          <w:marBottom w:val="0"/>
          <w:divBdr>
            <w:top w:val="none" w:sz="0" w:space="0" w:color="auto"/>
            <w:left w:val="none" w:sz="0" w:space="0" w:color="auto"/>
            <w:bottom w:val="none" w:sz="0" w:space="0" w:color="auto"/>
            <w:right w:val="none" w:sz="0" w:space="0" w:color="auto"/>
          </w:divBdr>
        </w:div>
        <w:div w:id="793671931">
          <w:marLeft w:val="446"/>
          <w:marRight w:val="0"/>
          <w:marTop w:val="0"/>
          <w:marBottom w:val="0"/>
          <w:divBdr>
            <w:top w:val="none" w:sz="0" w:space="0" w:color="auto"/>
            <w:left w:val="none" w:sz="0" w:space="0" w:color="auto"/>
            <w:bottom w:val="none" w:sz="0" w:space="0" w:color="auto"/>
            <w:right w:val="none" w:sz="0" w:space="0" w:color="auto"/>
          </w:divBdr>
        </w:div>
      </w:divsChild>
    </w:div>
    <w:div w:id="1526554531">
      <w:bodyDiv w:val="1"/>
      <w:marLeft w:val="0"/>
      <w:marRight w:val="0"/>
      <w:marTop w:val="0"/>
      <w:marBottom w:val="0"/>
      <w:divBdr>
        <w:top w:val="none" w:sz="0" w:space="0" w:color="auto"/>
        <w:left w:val="none" w:sz="0" w:space="0" w:color="auto"/>
        <w:bottom w:val="none" w:sz="0" w:space="0" w:color="auto"/>
        <w:right w:val="none" w:sz="0" w:space="0" w:color="auto"/>
      </w:divBdr>
      <w:divsChild>
        <w:div w:id="107553191">
          <w:marLeft w:val="0"/>
          <w:marRight w:val="0"/>
          <w:marTop w:val="0"/>
          <w:marBottom w:val="0"/>
          <w:divBdr>
            <w:top w:val="none" w:sz="0" w:space="0" w:color="auto"/>
            <w:left w:val="none" w:sz="0" w:space="0" w:color="auto"/>
            <w:bottom w:val="none" w:sz="0" w:space="0" w:color="auto"/>
            <w:right w:val="none" w:sz="0" w:space="0" w:color="auto"/>
          </w:divBdr>
        </w:div>
        <w:div w:id="130103628">
          <w:marLeft w:val="0"/>
          <w:marRight w:val="0"/>
          <w:marTop w:val="0"/>
          <w:marBottom w:val="0"/>
          <w:divBdr>
            <w:top w:val="none" w:sz="0" w:space="0" w:color="auto"/>
            <w:left w:val="none" w:sz="0" w:space="0" w:color="auto"/>
            <w:bottom w:val="none" w:sz="0" w:space="0" w:color="auto"/>
            <w:right w:val="none" w:sz="0" w:space="0" w:color="auto"/>
          </w:divBdr>
        </w:div>
        <w:div w:id="572357607">
          <w:marLeft w:val="0"/>
          <w:marRight w:val="0"/>
          <w:marTop w:val="0"/>
          <w:marBottom w:val="0"/>
          <w:divBdr>
            <w:top w:val="none" w:sz="0" w:space="0" w:color="auto"/>
            <w:left w:val="none" w:sz="0" w:space="0" w:color="auto"/>
            <w:bottom w:val="none" w:sz="0" w:space="0" w:color="auto"/>
            <w:right w:val="none" w:sz="0" w:space="0" w:color="auto"/>
          </w:divBdr>
        </w:div>
        <w:div w:id="633291949">
          <w:marLeft w:val="0"/>
          <w:marRight w:val="0"/>
          <w:marTop w:val="0"/>
          <w:marBottom w:val="0"/>
          <w:divBdr>
            <w:top w:val="none" w:sz="0" w:space="0" w:color="auto"/>
            <w:left w:val="none" w:sz="0" w:space="0" w:color="auto"/>
            <w:bottom w:val="none" w:sz="0" w:space="0" w:color="auto"/>
            <w:right w:val="none" w:sz="0" w:space="0" w:color="auto"/>
          </w:divBdr>
        </w:div>
        <w:div w:id="772554188">
          <w:marLeft w:val="0"/>
          <w:marRight w:val="0"/>
          <w:marTop w:val="0"/>
          <w:marBottom w:val="0"/>
          <w:divBdr>
            <w:top w:val="none" w:sz="0" w:space="0" w:color="auto"/>
            <w:left w:val="none" w:sz="0" w:space="0" w:color="auto"/>
            <w:bottom w:val="none" w:sz="0" w:space="0" w:color="auto"/>
            <w:right w:val="none" w:sz="0" w:space="0" w:color="auto"/>
          </w:divBdr>
        </w:div>
        <w:div w:id="1018584797">
          <w:marLeft w:val="0"/>
          <w:marRight w:val="0"/>
          <w:marTop w:val="0"/>
          <w:marBottom w:val="0"/>
          <w:divBdr>
            <w:top w:val="none" w:sz="0" w:space="0" w:color="auto"/>
            <w:left w:val="none" w:sz="0" w:space="0" w:color="auto"/>
            <w:bottom w:val="none" w:sz="0" w:space="0" w:color="auto"/>
            <w:right w:val="none" w:sz="0" w:space="0" w:color="auto"/>
          </w:divBdr>
        </w:div>
        <w:div w:id="1468665182">
          <w:marLeft w:val="0"/>
          <w:marRight w:val="0"/>
          <w:marTop w:val="0"/>
          <w:marBottom w:val="0"/>
          <w:divBdr>
            <w:top w:val="none" w:sz="0" w:space="0" w:color="auto"/>
            <w:left w:val="none" w:sz="0" w:space="0" w:color="auto"/>
            <w:bottom w:val="none" w:sz="0" w:space="0" w:color="auto"/>
            <w:right w:val="none" w:sz="0" w:space="0" w:color="auto"/>
          </w:divBdr>
        </w:div>
        <w:div w:id="1515799547">
          <w:marLeft w:val="0"/>
          <w:marRight w:val="0"/>
          <w:marTop w:val="0"/>
          <w:marBottom w:val="0"/>
          <w:divBdr>
            <w:top w:val="none" w:sz="0" w:space="0" w:color="auto"/>
            <w:left w:val="none" w:sz="0" w:space="0" w:color="auto"/>
            <w:bottom w:val="none" w:sz="0" w:space="0" w:color="auto"/>
            <w:right w:val="none" w:sz="0" w:space="0" w:color="auto"/>
          </w:divBdr>
        </w:div>
        <w:div w:id="1690716304">
          <w:marLeft w:val="0"/>
          <w:marRight w:val="0"/>
          <w:marTop w:val="0"/>
          <w:marBottom w:val="0"/>
          <w:divBdr>
            <w:top w:val="none" w:sz="0" w:space="0" w:color="auto"/>
            <w:left w:val="none" w:sz="0" w:space="0" w:color="auto"/>
            <w:bottom w:val="none" w:sz="0" w:space="0" w:color="auto"/>
            <w:right w:val="none" w:sz="0" w:space="0" w:color="auto"/>
          </w:divBdr>
        </w:div>
      </w:divsChild>
    </w:div>
    <w:div w:id="1542664280">
      <w:bodyDiv w:val="1"/>
      <w:marLeft w:val="0"/>
      <w:marRight w:val="0"/>
      <w:marTop w:val="0"/>
      <w:marBottom w:val="0"/>
      <w:divBdr>
        <w:top w:val="none" w:sz="0" w:space="0" w:color="auto"/>
        <w:left w:val="none" w:sz="0" w:space="0" w:color="auto"/>
        <w:bottom w:val="none" w:sz="0" w:space="0" w:color="auto"/>
        <w:right w:val="none" w:sz="0" w:space="0" w:color="auto"/>
      </w:divBdr>
      <w:divsChild>
        <w:div w:id="1225021208">
          <w:marLeft w:val="0"/>
          <w:marRight w:val="0"/>
          <w:marTop w:val="34"/>
          <w:marBottom w:val="34"/>
          <w:divBdr>
            <w:top w:val="none" w:sz="0" w:space="0" w:color="auto"/>
            <w:left w:val="none" w:sz="0" w:space="0" w:color="auto"/>
            <w:bottom w:val="none" w:sz="0" w:space="0" w:color="auto"/>
            <w:right w:val="none" w:sz="0" w:space="0" w:color="auto"/>
          </w:divBdr>
        </w:div>
      </w:divsChild>
    </w:div>
    <w:div w:id="1545555447">
      <w:bodyDiv w:val="1"/>
      <w:marLeft w:val="0"/>
      <w:marRight w:val="0"/>
      <w:marTop w:val="0"/>
      <w:marBottom w:val="0"/>
      <w:divBdr>
        <w:top w:val="none" w:sz="0" w:space="0" w:color="auto"/>
        <w:left w:val="none" w:sz="0" w:space="0" w:color="auto"/>
        <w:bottom w:val="none" w:sz="0" w:space="0" w:color="auto"/>
        <w:right w:val="none" w:sz="0" w:space="0" w:color="auto"/>
      </w:divBdr>
      <w:divsChild>
        <w:div w:id="1668483342">
          <w:marLeft w:val="446"/>
          <w:marRight w:val="0"/>
          <w:marTop w:val="86"/>
          <w:marBottom w:val="0"/>
          <w:divBdr>
            <w:top w:val="none" w:sz="0" w:space="0" w:color="auto"/>
            <w:left w:val="none" w:sz="0" w:space="0" w:color="auto"/>
            <w:bottom w:val="none" w:sz="0" w:space="0" w:color="auto"/>
            <w:right w:val="none" w:sz="0" w:space="0" w:color="auto"/>
          </w:divBdr>
        </w:div>
      </w:divsChild>
    </w:div>
    <w:div w:id="1555508653">
      <w:bodyDiv w:val="1"/>
      <w:marLeft w:val="0"/>
      <w:marRight w:val="0"/>
      <w:marTop w:val="0"/>
      <w:marBottom w:val="0"/>
      <w:divBdr>
        <w:top w:val="none" w:sz="0" w:space="0" w:color="auto"/>
        <w:left w:val="none" w:sz="0" w:space="0" w:color="auto"/>
        <w:bottom w:val="none" w:sz="0" w:space="0" w:color="auto"/>
        <w:right w:val="none" w:sz="0" w:space="0" w:color="auto"/>
      </w:divBdr>
    </w:div>
    <w:div w:id="1603107067">
      <w:bodyDiv w:val="1"/>
      <w:marLeft w:val="0"/>
      <w:marRight w:val="0"/>
      <w:marTop w:val="0"/>
      <w:marBottom w:val="0"/>
      <w:divBdr>
        <w:top w:val="none" w:sz="0" w:space="0" w:color="auto"/>
        <w:left w:val="none" w:sz="0" w:space="0" w:color="auto"/>
        <w:bottom w:val="none" w:sz="0" w:space="0" w:color="auto"/>
        <w:right w:val="none" w:sz="0" w:space="0" w:color="auto"/>
      </w:divBdr>
      <w:divsChild>
        <w:div w:id="241137662">
          <w:marLeft w:val="1440"/>
          <w:marRight w:val="0"/>
          <w:marTop w:val="100"/>
          <w:marBottom w:val="0"/>
          <w:divBdr>
            <w:top w:val="none" w:sz="0" w:space="0" w:color="auto"/>
            <w:left w:val="none" w:sz="0" w:space="0" w:color="auto"/>
            <w:bottom w:val="none" w:sz="0" w:space="0" w:color="auto"/>
            <w:right w:val="none" w:sz="0" w:space="0" w:color="auto"/>
          </w:divBdr>
        </w:div>
        <w:div w:id="350958258">
          <w:marLeft w:val="1440"/>
          <w:marRight w:val="0"/>
          <w:marTop w:val="100"/>
          <w:marBottom w:val="0"/>
          <w:divBdr>
            <w:top w:val="none" w:sz="0" w:space="0" w:color="auto"/>
            <w:left w:val="none" w:sz="0" w:space="0" w:color="auto"/>
            <w:bottom w:val="none" w:sz="0" w:space="0" w:color="auto"/>
            <w:right w:val="none" w:sz="0" w:space="0" w:color="auto"/>
          </w:divBdr>
        </w:div>
        <w:div w:id="401563686">
          <w:marLeft w:val="504"/>
          <w:marRight w:val="0"/>
          <w:marTop w:val="140"/>
          <w:marBottom w:val="0"/>
          <w:divBdr>
            <w:top w:val="none" w:sz="0" w:space="0" w:color="auto"/>
            <w:left w:val="none" w:sz="0" w:space="0" w:color="auto"/>
            <w:bottom w:val="none" w:sz="0" w:space="0" w:color="auto"/>
            <w:right w:val="none" w:sz="0" w:space="0" w:color="auto"/>
          </w:divBdr>
        </w:div>
        <w:div w:id="931741367">
          <w:marLeft w:val="504"/>
          <w:marRight w:val="0"/>
          <w:marTop w:val="140"/>
          <w:marBottom w:val="0"/>
          <w:divBdr>
            <w:top w:val="none" w:sz="0" w:space="0" w:color="auto"/>
            <w:left w:val="none" w:sz="0" w:space="0" w:color="auto"/>
            <w:bottom w:val="none" w:sz="0" w:space="0" w:color="auto"/>
            <w:right w:val="none" w:sz="0" w:space="0" w:color="auto"/>
          </w:divBdr>
        </w:div>
        <w:div w:id="1139811290">
          <w:marLeft w:val="1440"/>
          <w:marRight w:val="0"/>
          <w:marTop w:val="100"/>
          <w:marBottom w:val="0"/>
          <w:divBdr>
            <w:top w:val="none" w:sz="0" w:space="0" w:color="auto"/>
            <w:left w:val="none" w:sz="0" w:space="0" w:color="auto"/>
            <w:bottom w:val="none" w:sz="0" w:space="0" w:color="auto"/>
            <w:right w:val="none" w:sz="0" w:space="0" w:color="auto"/>
          </w:divBdr>
        </w:div>
        <w:div w:id="1483472908">
          <w:marLeft w:val="1440"/>
          <w:marRight w:val="0"/>
          <w:marTop w:val="100"/>
          <w:marBottom w:val="0"/>
          <w:divBdr>
            <w:top w:val="none" w:sz="0" w:space="0" w:color="auto"/>
            <w:left w:val="none" w:sz="0" w:space="0" w:color="auto"/>
            <w:bottom w:val="none" w:sz="0" w:space="0" w:color="auto"/>
            <w:right w:val="none" w:sz="0" w:space="0" w:color="auto"/>
          </w:divBdr>
        </w:div>
      </w:divsChild>
    </w:div>
    <w:div w:id="1615017317">
      <w:bodyDiv w:val="1"/>
      <w:marLeft w:val="0"/>
      <w:marRight w:val="0"/>
      <w:marTop w:val="0"/>
      <w:marBottom w:val="0"/>
      <w:divBdr>
        <w:top w:val="none" w:sz="0" w:space="0" w:color="auto"/>
        <w:left w:val="none" w:sz="0" w:space="0" w:color="auto"/>
        <w:bottom w:val="none" w:sz="0" w:space="0" w:color="auto"/>
        <w:right w:val="none" w:sz="0" w:space="0" w:color="auto"/>
      </w:divBdr>
      <w:divsChild>
        <w:div w:id="14235331">
          <w:marLeft w:val="0"/>
          <w:marRight w:val="0"/>
          <w:marTop w:val="34"/>
          <w:marBottom w:val="34"/>
          <w:divBdr>
            <w:top w:val="none" w:sz="0" w:space="0" w:color="auto"/>
            <w:left w:val="none" w:sz="0" w:space="0" w:color="auto"/>
            <w:bottom w:val="none" w:sz="0" w:space="0" w:color="auto"/>
            <w:right w:val="none" w:sz="0" w:space="0" w:color="auto"/>
          </w:divBdr>
        </w:div>
      </w:divsChild>
    </w:div>
    <w:div w:id="1618873437">
      <w:bodyDiv w:val="1"/>
      <w:marLeft w:val="0"/>
      <w:marRight w:val="0"/>
      <w:marTop w:val="0"/>
      <w:marBottom w:val="0"/>
      <w:divBdr>
        <w:top w:val="none" w:sz="0" w:space="0" w:color="auto"/>
        <w:left w:val="none" w:sz="0" w:space="0" w:color="auto"/>
        <w:bottom w:val="none" w:sz="0" w:space="0" w:color="auto"/>
        <w:right w:val="none" w:sz="0" w:space="0" w:color="auto"/>
      </w:divBdr>
    </w:div>
    <w:div w:id="1632401660">
      <w:bodyDiv w:val="1"/>
      <w:marLeft w:val="0"/>
      <w:marRight w:val="0"/>
      <w:marTop w:val="0"/>
      <w:marBottom w:val="0"/>
      <w:divBdr>
        <w:top w:val="none" w:sz="0" w:space="0" w:color="auto"/>
        <w:left w:val="none" w:sz="0" w:space="0" w:color="auto"/>
        <w:bottom w:val="none" w:sz="0" w:space="0" w:color="auto"/>
        <w:right w:val="none" w:sz="0" w:space="0" w:color="auto"/>
      </w:divBdr>
      <w:divsChild>
        <w:div w:id="427425958">
          <w:marLeft w:val="1008"/>
          <w:marRight w:val="0"/>
          <w:marTop w:val="110"/>
          <w:marBottom w:val="0"/>
          <w:divBdr>
            <w:top w:val="none" w:sz="0" w:space="0" w:color="auto"/>
            <w:left w:val="none" w:sz="0" w:space="0" w:color="auto"/>
            <w:bottom w:val="none" w:sz="0" w:space="0" w:color="auto"/>
            <w:right w:val="none" w:sz="0" w:space="0" w:color="auto"/>
          </w:divBdr>
        </w:div>
        <w:div w:id="607008344">
          <w:marLeft w:val="1008"/>
          <w:marRight w:val="0"/>
          <w:marTop w:val="110"/>
          <w:marBottom w:val="0"/>
          <w:divBdr>
            <w:top w:val="none" w:sz="0" w:space="0" w:color="auto"/>
            <w:left w:val="none" w:sz="0" w:space="0" w:color="auto"/>
            <w:bottom w:val="none" w:sz="0" w:space="0" w:color="auto"/>
            <w:right w:val="none" w:sz="0" w:space="0" w:color="auto"/>
          </w:divBdr>
        </w:div>
        <w:div w:id="821501458">
          <w:marLeft w:val="504"/>
          <w:marRight w:val="0"/>
          <w:marTop w:val="140"/>
          <w:marBottom w:val="0"/>
          <w:divBdr>
            <w:top w:val="none" w:sz="0" w:space="0" w:color="auto"/>
            <w:left w:val="none" w:sz="0" w:space="0" w:color="auto"/>
            <w:bottom w:val="none" w:sz="0" w:space="0" w:color="auto"/>
            <w:right w:val="none" w:sz="0" w:space="0" w:color="auto"/>
          </w:divBdr>
        </w:div>
        <w:div w:id="1315795256">
          <w:marLeft w:val="504"/>
          <w:marRight w:val="0"/>
          <w:marTop w:val="140"/>
          <w:marBottom w:val="0"/>
          <w:divBdr>
            <w:top w:val="none" w:sz="0" w:space="0" w:color="auto"/>
            <w:left w:val="none" w:sz="0" w:space="0" w:color="auto"/>
            <w:bottom w:val="none" w:sz="0" w:space="0" w:color="auto"/>
            <w:right w:val="none" w:sz="0" w:space="0" w:color="auto"/>
          </w:divBdr>
        </w:div>
        <w:div w:id="1690059450">
          <w:marLeft w:val="1008"/>
          <w:marRight w:val="0"/>
          <w:marTop w:val="110"/>
          <w:marBottom w:val="0"/>
          <w:divBdr>
            <w:top w:val="none" w:sz="0" w:space="0" w:color="auto"/>
            <w:left w:val="none" w:sz="0" w:space="0" w:color="auto"/>
            <w:bottom w:val="none" w:sz="0" w:space="0" w:color="auto"/>
            <w:right w:val="none" w:sz="0" w:space="0" w:color="auto"/>
          </w:divBdr>
        </w:div>
        <w:div w:id="2025398576">
          <w:marLeft w:val="1008"/>
          <w:marRight w:val="0"/>
          <w:marTop w:val="110"/>
          <w:marBottom w:val="0"/>
          <w:divBdr>
            <w:top w:val="none" w:sz="0" w:space="0" w:color="auto"/>
            <w:left w:val="none" w:sz="0" w:space="0" w:color="auto"/>
            <w:bottom w:val="none" w:sz="0" w:space="0" w:color="auto"/>
            <w:right w:val="none" w:sz="0" w:space="0" w:color="auto"/>
          </w:divBdr>
        </w:div>
        <w:div w:id="2053338752">
          <w:marLeft w:val="1440"/>
          <w:marRight w:val="0"/>
          <w:marTop w:val="100"/>
          <w:marBottom w:val="0"/>
          <w:divBdr>
            <w:top w:val="none" w:sz="0" w:space="0" w:color="auto"/>
            <w:left w:val="none" w:sz="0" w:space="0" w:color="auto"/>
            <w:bottom w:val="none" w:sz="0" w:space="0" w:color="auto"/>
            <w:right w:val="none" w:sz="0" w:space="0" w:color="auto"/>
          </w:divBdr>
        </w:div>
      </w:divsChild>
    </w:div>
    <w:div w:id="1679771757">
      <w:bodyDiv w:val="1"/>
      <w:marLeft w:val="0"/>
      <w:marRight w:val="0"/>
      <w:marTop w:val="0"/>
      <w:marBottom w:val="0"/>
      <w:divBdr>
        <w:top w:val="none" w:sz="0" w:space="0" w:color="auto"/>
        <w:left w:val="none" w:sz="0" w:space="0" w:color="auto"/>
        <w:bottom w:val="none" w:sz="0" w:space="0" w:color="auto"/>
        <w:right w:val="none" w:sz="0" w:space="0" w:color="auto"/>
      </w:divBdr>
    </w:div>
    <w:div w:id="1682077217">
      <w:bodyDiv w:val="1"/>
      <w:marLeft w:val="0"/>
      <w:marRight w:val="0"/>
      <w:marTop w:val="0"/>
      <w:marBottom w:val="0"/>
      <w:divBdr>
        <w:top w:val="none" w:sz="0" w:space="0" w:color="auto"/>
        <w:left w:val="none" w:sz="0" w:space="0" w:color="auto"/>
        <w:bottom w:val="none" w:sz="0" w:space="0" w:color="auto"/>
        <w:right w:val="none" w:sz="0" w:space="0" w:color="auto"/>
      </w:divBdr>
    </w:div>
    <w:div w:id="1695497956">
      <w:bodyDiv w:val="1"/>
      <w:marLeft w:val="0"/>
      <w:marRight w:val="0"/>
      <w:marTop w:val="0"/>
      <w:marBottom w:val="0"/>
      <w:divBdr>
        <w:top w:val="none" w:sz="0" w:space="0" w:color="auto"/>
        <w:left w:val="none" w:sz="0" w:space="0" w:color="auto"/>
        <w:bottom w:val="none" w:sz="0" w:space="0" w:color="auto"/>
        <w:right w:val="none" w:sz="0" w:space="0" w:color="auto"/>
      </w:divBdr>
    </w:div>
    <w:div w:id="1796632940">
      <w:bodyDiv w:val="1"/>
      <w:marLeft w:val="0"/>
      <w:marRight w:val="0"/>
      <w:marTop w:val="0"/>
      <w:marBottom w:val="0"/>
      <w:divBdr>
        <w:top w:val="none" w:sz="0" w:space="0" w:color="auto"/>
        <w:left w:val="none" w:sz="0" w:space="0" w:color="auto"/>
        <w:bottom w:val="none" w:sz="0" w:space="0" w:color="auto"/>
        <w:right w:val="none" w:sz="0" w:space="0" w:color="auto"/>
      </w:divBdr>
    </w:div>
    <w:div w:id="1818573721">
      <w:bodyDiv w:val="1"/>
      <w:marLeft w:val="0"/>
      <w:marRight w:val="0"/>
      <w:marTop w:val="0"/>
      <w:marBottom w:val="0"/>
      <w:divBdr>
        <w:top w:val="none" w:sz="0" w:space="0" w:color="auto"/>
        <w:left w:val="none" w:sz="0" w:space="0" w:color="auto"/>
        <w:bottom w:val="none" w:sz="0" w:space="0" w:color="auto"/>
        <w:right w:val="none" w:sz="0" w:space="0" w:color="auto"/>
      </w:divBdr>
    </w:div>
    <w:div w:id="1832745572">
      <w:bodyDiv w:val="1"/>
      <w:marLeft w:val="0"/>
      <w:marRight w:val="0"/>
      <w:marTop w:val="0"/>
      <w:marBottom w:val="0"/>
      <w:divBdr>
        <w:top w:val="none" w:sz="0" w:space="0" w:color="auto"/>
        <w:left w:val="none" w:sz="0" w:space="0" w:color="auto"/>
        <w:bottom w:val="none" w:sz="0" w:space="0" w:color="auto"/>
        <w:right w:val="none" w:sz="0" w:space="0" w:color="auto"/>
      </w:divBdr>
      <w:divsChild>
        <w:div w:id="318970737">
          <w:marLeft w:val="504"/>
          <w:marRight w:val="0"/>
          <w:marTop w:val="140"/>
          <w:marBottom w:val="0"/>
          <w:divBdr>
            <w:top w:val="none" w:sz="0" w:space="0" w:color="auto"/>
            <w:left w:val="none" w:sz="0" w:space="0" w:color="auto"/>
            <w:bottom w:val="none" w:sz="0" w:space="0" w:color="auto"/>
            <w:right w:val="none" w:sz="0" w:space="0" w:color="auto"/>
          </w:divBdr>
        </w:div>
        <w:div w:id="369766152">
          <w:marLeft w:val="504"/>
          <w:marRight w:val="0"/>
          <w:marTop w:val="140"/>
          <w:marBottom w:val="0"/>
          <w:divBdr>
            <w:top w:val="none" w:sz="0" w:space="0" w:color="auto"/>
            <w:left w:val="none" w:sz="0" w:space="0" w:color="auto"/>
            <w:bottom w:val="none" w:sz="0" w:space="0" w:color="auto"/>
            <w:right w:val="none" w:sz="0" w:space="0" w:color="auto"/>
          </w:divBdr>
        </w:div>
        <w:div w:id="476532415">
          <w:marLeft w:val="504"/>
          <w:marRight w:val="0"/>
          <w:marTop w:val="140"/>
          <w:marBottom w:val="0"/>
          <w:divBdr>
            <w:top w:val="none" w:sz="0" w:space="0" w:color="auto"/>
            <w:left w:val="none" w:sz="0" w:space="0" w:color="auto"/>
            <w:bottom w:val="none" w:sz="0" w:space="0" w:color="auto"/>
            <w:right w:val="none" w:sz="0" w:space="0" w:color="auto"/>
          </w:divBdr>
        </w:div>
        <w:div w:id="498816784">
          <w:marLeft w:val="504"/>
          <w:marRight w:val="0"/>
          <w:marTop w:val="140"/>
          <w:marBottom w:val="0"/>
          <w:divBdr>
            <w:top w:val="none" w:sz="0" w:space="0" w:color="auto"/>
            <w:left w:val="none" w:sz="0" w:space="0" w:color="auto"/>
            <w:bottom w:val="none" w:sz="0" w:space="0" w:color="auto"/>
            <w:right w:val="none" w:sz="0" w:space="0" w:color="auto"/>
          </w:divBdr>
        </w:div>
        <w:div w:id="1610576451">
          <w:marLeft w:val="504"/>
          <w:marRight w:val="0"/>
          <w:marTop w:val="140"/>
          <w:marBottom w:val="0"/>
          <w:divBdr>
            <w:top w:val="none" w:sz="0" w:space="0" w:color="auto"/>
            <w:left w:val="none" w:sz="0" w:space="0" w:color="auto"/>
            <w:bottom w:val="none" w:sz="0" w:space="0" w:color="auto"/>
            <w:right w:val="none" w:sz="0" w:space="0" w:color="auto"/>
          </w:divBdr>
        </w:div>
        <w:div w:id="1983777792">
          <w:marLeft w:val="504"/>
          <w:marRight w:val="0"/>
          <w:marTop w:val="140"/>
          <w:marBottom w:val="0"/>
          <w:divBdr>
            <w:top w:val="none" w:sz="0" w:space="0" w:color="auto"/>
            <w:left w:val="none" w:sz="0" w:space="0" w:color="auto"/>
            <w:bottom w:val="none" w:sz="0" w:space="0" w:color="auto"/>
            <w:right w:val="none" w:sz="0" w:space="0" w:color="auto"/>
          </w:divBdr>
        </w:div>
      </w:divsChild>
    </w:div>
    <w:div w:id="1840383337">
      <w:bodyDiv w:val="1"/>
      <w:marLeft w:val="0"/>
      <w:marRight w:val="0"/>
      <w:marTop w:val="0"/>
      <w:marBottom w:val="0"/>
      <w:divBdr>
        <w:top w:val="none" w:sz="0" w:space="0" w:color="auto"/>
        <w:left w:val="none" w:sz="0" w:space="0" w:color="auto"/>
        <w:bottom w:val="none" w:sz="0" w:space="0" w:color="auto"/>
        <w:right w:val="none" w:sz="0" w:space="0" w:color="auto"/>
      </w:divBdr>
      <w:divsChild>
        <w:div w:id="147862117">
          <w:marLeft w:val="0"/>
          <w:marRight w:val="0"/>
          <w:marTop w:val="34"/>
          <w:marBottom w:val="34"/>
          <w:divBdr>
            <w:top w:val="none" w:sz="0" w:space="0" w:color="auto"/>
            <w:left w:val="none" w:sz="0" w:space="0" w:color="auto"/>
            <w:bottom w:val="none" w:sz="0" w:space="0" w:color="auto"/>
            <w:right w:val="none" w:sz="0" w:space="0" w:color="auto"/>
          </w:divBdr>
        </w:div>
      </w:divsChild>
    </w:div>
    <w:div w:id="1881169250">
      <w:bodyDiv w:val="1"/>
      <w:marLeft w:val="0"/>
      <w:marRight w:val="0"/>
      <w:marTop w:val="0"/>
      <w:marBottom w:val="0"/>
      <w:divBdr>
        <w:top w:val="none" w:sz="0" w:space="0" w:color="auto"/>
        <w:left w:val="none" w:sz="0" w:space="0" w:color="auto"/>
        <w:bottom w:val="none" w:sz="0" w:space="0" w:color="auto"/>
        <w:right w:val="none" w:sz="0" w:space="0" w:color="auto"/>
      </w:divBdr>
      <w:divsChild>
        <w:div w:id="1065110152">
          <w:marLeft w:val="547"/>
          <w:marRight w:val="0"/>
          <w:marTop w:val="96"/>
          <w:marBottom w:val="0"/>
          <w:divBdr>
            <w:top w:val="none" w:sz="0" w:space="0" w:color="auto"/>
            <w:left w:val="none" w:sz="0" w:space="0" w:color="auto"/>
            <w:bottom w:val="none" w:sz="0" w:space="0" w:color="auto"/>
            <w:right w:val="none" w:sz="0" w:space="0" w:color="auto"/>
          </w:divBdr>
        </w:div>
        <w:div w:id="1189762395">
          <w:marLeft w:val="547"/>
          <w:marRight w:val="0"/>
          <w:marTop w:val="96"/>
          <w:marBottom w:val="0"/>
          <w:divBdr>
            <w:top w:val="none" w:sz="0" w:space="0" w:color="auto"/>
            <w:left w:val="none" w:sz="0" w:space="0" w:color="auto"/>
            <w:bottom w:val="none" w:sz="0" w:space="0" w:color="auto"/>
            <w:right w:val="none" w:sz="0" w:space="0" w:color="auto"/>
          </w:divBdr>
        </w:div>
        <w:div w:id="1300837704">
          <w:marLeft w:val="547"/>
          <w:marRight w:val="0"/>
          <w:marTop w:val="96"/>
          <w:marBottom w:val="0"/>
          <w:divBdr>
            <w:top w:val="none" w:sz="0" w:space="0" w:color="auto"/>
            <w:left w:val="none" w:sz="0" w:space="0" w:color="auto"/>
            <w:bottom w:val="none" w:sz="0" w:space="0" w:color="auto"/>
            <w:right w:val="none" w:sz="0" w:space="0" w:color="auto"/>
          </w:divBdr>
        </w:div>
        <w:div w:id="1706370828">
          <w:marLeft w:val="547"/>
          <w:marRight w:val="0"/>
          <w:marTop w:val="96"/>
          <w:marBottom w:val="0"/>
          <w:divBdr>
            <w:top w:val="none" w:sz="0" w:space="0" w:color="auto"/>
            <w:left w:val="none" w:sz="0" w:space="0" w:color="auto"/>
            <w:bottom w:val="none" w:sz="0" w:space="0" w:color="auto"/>
            <w:right w:val="none" w:sz="0" w:space="0" w:color="auto"/>
          </w:divBdr>
        </w:div>
      </w:divsChild>
    </w:div>
    <w:div w:id="1906835865">
      <w:bodyDiv w:val="1"/>
      <w:marLeft w:val="0"/>
      <w:marRight w:val="0"/>
      <w:marTop w:val="0"/>
      <w:marBottom w:val="0"/>
      <w:divBdr>
        <w:top w:val="none" w:sz="0" w:space="0" w:color="auto"/>
        <w:left w:val="none" w:sz="0" w:space="0" w:color="auto"/>
        <w:bottom w:val="none" w:sz="0" w:space="0" w:color="auto"/>
        <w:right w:val="none" w:sz="0" w:space="0" w:color="auto"/>
      </w:divBdr>
      <w:divsChild>
        <w:div w:id="579288579">
          <w:marLeft w:val="547"/>
          <w:marRight w:val="0"/>
          <w:marTop w:val="115"/>
          <w:marBottom w:val="0"/>
          <w:divBdr>
            <w:top w:val="none" w:sz="0" w:space="0" w:color="auto"/>
            <w:left w:val="none" w:sz="0" w:space="0" w:color="auto"/>
            <w:bottom w:val="none" w:sz="0" w:space="0" w:color="auto"/>
            <w:right w:val="none" w:sz="0" w:space="0" w:color="auto"/>
          </w:divBdr>
        </w:div>
        <w:div w:id="1230847353">
          <w:marLeft w:val="547"/>
          <w:marRight w:val="0"/>
          <w:marTop w:val="115"/>
          <w:marBottom w:val="0"/>
          <w:divBdr>
            <w:top w:val="none" w:sz="0" w:space="0" w:color="auto"/>
            <w:left w:val="none" w:sz="0" w:space="0" w:color="auto"/>
            <w:bottom w:val="none" w:sz="0" w:space="0" w:color="auto"/>
            <w:right w:val="none" w:sz="0" w:space="0" w:color="auto"/>
          </w:divBdr>
        </w:div>
        <w:div w:id="1438133120">
          <w:marLeft w:val="547"/>
          <w:marRight w:val="0"/>
          <w:marTop w:val="115"/>
          <w:marBottom w:val="0"/>
          <w:divBdr>
            <w:top w:val="none" w:sz="0" w:space="0" w:color="auto"/>
            <w:left w:val="none" w:sz="0" w:space="0" w:color="auto"/>
            <w:bottom w:val="none" w:sz="0" w:space="0" w:color="auto"/>
            <w:right w:val="none" w:sz="0" w:space="0" w:color="auto"/>
          </w:divBdr>
        </w:div>
      </w:divsChild>
    </w:div>
    <w:div w:id="1907374719">
      <w:bodyDiv w:val="1"/>
      <w:marLeft w:val="0"/>
      <w:marRight w:val="0"/>
      <w:marTop w:val="0"/>
      <w:marBottom w:val="0"/>
      <w:divBdr>
        <w:top w:val="none" w:sz="0" w:space="0" w:color="auto"/>
        <w:left w:val="none" w:sz="0" w:space="0" w:color="auto"/>
        <w:bottom w:val="none" w:sz="0" w:space="0" w:color="auto"/>
        <w:right w:val="none" w:sz="0" w:space="0" w:color="auto"/>
      </w:divBdr>
    </w:div>
    <w:div w:id="1912885298">
      <w:bodyDiv w:val="1"/>
      <w:marLeft w:val="0"/>
      <w:marRight w:val="0"/>
      <w:marTop w:val="0"/>
      <w:marBottom w:val="0"/>
      <w:divBdr>
        <w:top w:val="none" w:sz="0" w:space="0" w:color="auto"/>
        <w:left w:val="none" w:sz="0" w:space="0" w:color="auto"/>
        <w:bottom w:val="none" w:sz="0" w:space="0" w:color="auto"/>
        <w:right w:val="none" w:sz="0" w:space="0" w:color="auto"/>
      </w:divBdr>
    </w:div>
    <w:div w:id="1920872210">
      <w:bodyDiv w:val="1"/>
      <w:marLeft w:val="0"/>
      <w:marRight w:val="0"/>
      <w:marTop w:val="0"/>
      <w:marBottom w:val="0"/>
      <w:divBdr>
        <w:top w:val="none" w:sz="0" w:space="0" w:color="auto"/>
        <w:left w:val="none" w:sz="0" w:space="0" w:color="auto"/>
        <w:bottom w:val="none" w:sz="0" w:space="0" w:color="auto"/>
        <w:right w:val="none" w:sz="0" w:space="0" w:color="auto"/>
      </w:divBdr>
    </w:div>
    <w:div w:id="2024356845">
      <w:bodyDiv w:val="1"/>
      <w:marLeft w:val="0"/>
      <w:marRight w:val="0"/>
      <w:marTop w:val="0"/>
      <w:marBottom w:val="0"/>
      <w:divBdr>
        <w:top w:val="none" w:sz="0" w:space="0" w:color="auto"/>
        <w:left w:val="none" w:sz="0" w:space="0" w:color="auto"/>
        <w:bottom w:val="none" w:sz="0" w:space="0" w:color="auto"/>
        <w:right w:val="none" w:sz="0" w:space="0" w:color="auto"/>
      </w:divBdr>
      <w:divsChild>
        <w:div w:id="1573852832">
          <w:marLeft w:val="0"/>
          <w:marRight w:val="0"/>
          <w:marTop w:val="34"/>
          <w:marBottom w:val="34"/>
          <w:divBdr>
            <w:top w:val="none" w:sz="0" w:space="0" w:color="auto"/>
            <w:left w:val="none" w:sz="0" w:space="0" w:color="auto"/>
            <w:bottom w:val="none" w:sz="0" w:space="0" w:color="auto"/>
            <w:right w:val="none" w:sz="0" w:space="0" w:color="auto"/>
          </w:divBdr>
        </w:div>
      </w:divsChild>
    </w:div>
    <w:div w:id="2061126663">
      <w:bodyDiv w:val="1"/>
      <w:marLeft w:val="0"/>
      <w:marRight w:val="0"/>
      <w:marTop w:val="0"/>
      <w:marBottom w:val="0"/>
      <w:divBdr>
        <w:top w:val="none" w:sz="0" w:space="0" w:color="auto"/>
        <w:left w:val="none" w:sz="0" w:space="0" w:color="auto"/>
        <w:bottom w:val="none" w:sz="0" w:space="0" w:color="auto"/>
        <w:right w:val="none" w:sz="0" w:space="0" w:color="auto"/>
      </w:divBdr>
      <w:divsChild>
        <w:div w:id="964508952">
          <w:marLeft w:val="504"/>
          <w:marRight w:val="0"/>
          <w:marTop w:val="140"/>
          <w:marBottom w:val="0"/>
          <w:divBdr>
            <w:top w:val="none" w:sz="0" w:space="0" w:color="auto"/>
            <w:left w:val="none" w:sz="0" w:space="0" w:color="auto"/>
            <w:bottom w:val="none" w:sz="0" w:space="0" w:color="auto"/>
            <w:right w:val="none" w:sz="0" w:space="0" w:color="auto"/>
          </w:divBdr>
        </w:div>
        <w:div w:id="1223515568">
          <w:marLeft w:val="1440"/>
          <w:marRight w:val="0"/>
          <w:marTop w:val="100"/>
          <w:marBottom w:val="0"/>
          <w:divBdr>
            <w:top w:val="none" w:sz="0" w:space="0" w:color="auto"/>
            <w:left w:val="none" w:sz="0" w:space="0" w:color="auto"/>
            <w:bottom w:val="none" w:sz="0" w:space="0" w:color="auto"/>
            <w:right w:val="none" w:sz="0" w:space="0" w:color="auto"/>
          </w:divBdr>
        </w:div>
        <w:div w:id="1432163516">
          <w:marLeft w:val="504"/>
          <w:marRight w:val="0"/>
          <w:marTop w:val="140"/>
          <w:marBottom w:val="0"/>
          <w:divBdr>
            <w:top w:val="none" w:sz="0" w:space="0" w:color="auto"/>
            <w:left w:val="none" w:sz="0" w:space="0" w:color="auto"/>
            <w:bottom w:val="none" w:sz="0" w:space="0" w:color="auto"/>
            <w:right w:val="none" w:sz="0" w:space="0" w:color="auto"/>
          </w:divBdr>
        </w:div>
        <w:div w:id="1629166313">
          <w:marLeft w:val="1440"/>
          <w:marRight w:val="0"/>
          <w:marTop w:val="100"/>
          <w:marBottom w:val="0"/>
          <w:divBdr>
            <w:top w:val="none" w:sz="0" w:space="0" w:color="auto"/>
            <w:left w:val="none" w:sz="0" w:space="0" w:color="auto"/>
            <w:bottom w:val="none" w:sz="0" w:space="0" w:color="auto"/>
            <w:right w:val="none" w:sz="0" w:space="0" w:color="auto"/>
          </w:divBdr>
        </w:div>
        <w:div w:id="1849559820">
          <w:marLeft w:val="1440"/>
          <w:marRight w:val="0"/>
          <w:marTop w:val="100"/>
          <w:marBottom w:val="0"/>
          <w:divBdr>
            <w:top w:val="none" w:sz="0" w:space="0" w:color="auto"/>
            <w:left w:val="none" w:sz="0" w:space="0" w:color="auto"/>
            <w:bottom w:val="none" w:sz="0" w:space="0" w:color="auto"/>
            <w:right w:val="none" w:sz="0" w:space="0" w:color="auto"/>
          </w:divBdr>
        </w:div>
        <w:div w:id="2071490758">
          <w:marLeft w:val="504"/>
          <w:marRight w:val="0"/>
          <w:marTop w:val="140"/>
          <w:marBottom w:val="0"/>
          <w:divBdr>
            <w:top w:val="none" w:sz="0" w:space="0" w:color="auto"/>
            <w:left w:val="none" w:sz="0" w:space="0" w:color="auto"/>
            <w:bottom w:val="none" w:sz="0" w:space="0" w:color="auto"/>
            <w:right w:val="none" w:sz="0" w:space="0" w:color="auto"/>
          </w:divBdr>
        </w:div>
      </w:divsChild>
    </w:div>
    <w:div w:id="2086102031">
      <w:bodyDiv w:val="1"/>
      <w:marLeft w:val="0"/>
      <w:marRight w:val="0"/>
      <w:marTop w:val="0"/>
      <w:marBottom w:val="0"/>
      <w:divBdr>
        <w:top w:val="none" w:sz="0" w:space="0" w:color="auto"/>
        <w:left w:val="none" w:sz="0" w:space="0" w:color="auto"/>
        <w:bottom w:val="none" w:sz="0" w:space="0" w:color="auto"/>
        <w:right w:val="none" w:sz="0" w:space="0" w:color="auto"/>
      </w:divBdr>
      <w:divsChild>
        <w:div w:id="1639384071">
          <w:marLeft w:val="0"/>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beiro@dndi.org"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dndi.org/diseases-projects/clinical-trial-protocols.html" TargetMode="External"/><Relationship Id="rId14" Type="http://schemas.openxmlformats.org/officeDocument/2006/relationships/header" Target="header3.xml"/><Relationship Id="rId22"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4AE37-056A-49AC-81D6-BECF23A1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27</Pages>
  <Words>22102</Words>
  <Characters>121564</Characters>
  <Application>Microsoft Office Word</Application>
  <DocSecurity>0</DocSecurity>
  <Lines>1013</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143380</CharactersWithSpaces>
  <SharedDoc>false</SharedDoc>
  <HLinks>
    <vt:vector size="12" baseType="variant">
      <vt:variant>
        <vt:i4>6291499</vt:i4>
      </vt:variant>
      <vt:variant>
        <vt:i4>3</vt:i4>
      </vt:variant>
      <vt:variant>
        <vt:i4>0</vt:i4>
      </vt:variant>
      <vt:variant>
        <vt:i4>5</vt:i4>
      </vt:variant>
      <vt:variant>
        <vt:lpwstr>http://www.dndi.org/diseases-projects/clinical-trial-protocols.html</vt:lpwstr>
      </vt:variant>
      <vt:variant>
        <vt:lpwstr/>
      </vt:variant>
      <vt:variant>
        <vt:i4>3801088</vt:i4>
      </vt:variant>
      <vt:variant>
        <vt:i4>0</vt:i4>
      </vt:variant>
      <vt:variant>
        <vt:i4>0</vt:i4>
      </vt:variant>
      <vt:variant>
        <vt:i4>5</vt:i4>
      </vt:variant>
      <vt:variant>
        <vt:lpwstr>mailto:iribeiro@dndi.org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VGS</dc:creator>
  <cp:keywords/>
  <dc:description/>
  <cp:lastModifiedBy>Julie Archer</cp:lastModifiedBy>
  <cp:revision>10</cp:revision>
  <cp:lastPrinted>2016-07-18T07:16:00Z</cp:lastPrinted>
  <dcterms:created xsi:type="dcterms:W3CDTF">2017-07-11T21:03:00Z</dcterms:created>
  <dcterms:modified xsi:type="dcterms:W3CDTF">2021-12-16T13:14:00Z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http://www.zotero.org/styles/the-lancet-infectious-diseases</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http://www.zotero.org/styles/the-lancet-infectious-diseases</vt:lpwstr>
  </property>
  <property fmtid="{D5CDD505-2E9C-101B-9397-08002B2CF9AE}" pid="23" name="Mendeley Recent Style Name 9_1">
    <vt:lpwstr>The Lancet Infectious Diseases</vt:lpwstr>
  </property>
  <property fmtid="{D5CDD505-2E9C-101B-9397-08002B2CF9AE}" pid="24" name="Mendeley Unique User Id_1">
    <vt:lpwstr>ad335d6e-30d8-324d-bab9-1445ba115593</vt:lpwstr>
  </property>
</Properties>
</file>